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340"/>
        <w:gridCol w:w="1420"/>
        <w:gridCol w:w="760"/>
        <w:gridCol w:w="680"/>
        <w:gridCol w:w="680"/>
        <w:gridCol w:w="760"/>
        <w:gridCol w:w="21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秀山自治县2016年公开招聘事业专业技术人员部分岗位递减公告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招聘名额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参考人数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递减名额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剩余名额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涌洞乡人民政府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畜牧兽医站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专技人员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公共卫生救治中心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精神科专技人员2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妇产科专技人员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急诊科专技人员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重症医学科专技人员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B超室专技人员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中医医院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临床专技人员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中医医院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麻醉专技人员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峨溶镇卫生院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临床专技人员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宋农镇卫生院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临床专技人员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县卫生计生委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岑溪乡卫生院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临床专技人员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36"/>
                <w:szCs w:val="36"/>
                <w:lang w:val="en-US" w:eastAsia="zh-CN" w:bidi="ar"/>
              </w:rPr>
              <w:t>未达到简章规定开考比例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F4D11"/>
    <w:rsid w:val="202F4D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2016-07-20T08:37:00Z</dcterms:created>
  <dc:creator>video</dc:creator>
  <cp:lastModifiedBy>video</cp:lastModifiedBy>
  <dcterms:modified xsi:type="dcterms:W3CDTF">2016-07-20T08:37:55Z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