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300" w:beforeAutospacing="0" w:after="0" w:afterAutospacing="0" w:line="450" w:lineRule="atLeast"/>
        <w:ind w:left="0" w:right="0"/>
        <w:jc w:val="left"/>
      </w:pPr>
      <w:r>
        <w:rPr>
          <w:rFonts w:ascii="方正小标宋简体" w:hAnsi="方正小标宋简体" w:eastAsia="方正小标宋简体" w:cs="方正小标宋简体"/>
          <w:sz w:val="30"/>
          <w:szCs w:val="30"/>
          <w:shd w:val="clear" w:fill="FFFFFF"/>
        </w:rPr>
        <w:t>中山市人力资源和社会保障局2016年拟录用公务员名单</w:t>
      </w:r>
      <w:r>
        <w:rPr>
          <w:rFonts w:hint="default" w:ascii="方正小标宋简体" w:hAnsi="方正小标宋简体" w:eastAsia="方正小标宋简体" w:cs="方正小标宋简体"/>
          <w:sz w:val="30"/>
          <w:szCs w:val="30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30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 </w:t>
      </w:r>
    </w:p>
    <w:tbl>
      <w:tblPr>
        <w:tblW w:w="10562" w:type="dxa"/>
        <w:tblInd w:w="0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2"/>
        <w:gridCol w:w="1080"/>
        <w:gridCol w:w="540"/>
        <w:gridCol w:w="1900"/>
        <w:gridCol w:w="900"/>
        <w:gridCol w:w="1080"/>
        <w:gridCol w:w="2880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</w:rPr>
              <w:t>职位代码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性别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准考证号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考试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总成绩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毕业院校或工作单位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</w:rPr>
              <w:t>11200480501002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微软雅黑" w:eastAsia="仿宋_GB2312" w:cs="仿宋_GB2312"/>
              </w:rPr>
              <w:t>邹艳玲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999120301216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67.708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广东商学院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11200480501003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杜美如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999120303209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71.404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大连海事大学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11200480501004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黄锟祺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999120302307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71.212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广东医学院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11200480501005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张志阳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999120303925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74.228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</w:rPr>
              <w:t>广东药学院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uto"/>
        <w:ind w:left="0" w:right="0"/>
        <w:jc w:val="both"/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41A62EE"/>
    <w:rsid w:val="741F38FD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uiPriority w:val="0"/>
  </w:style>
  <w:style w:type="character" w:customStyle="1" w:styleId="116">
    <w:name w:val="current2"/>
    <w:basedOn w:val="7"/>
    <w:uiPriority w:val="0"/>
    <w:rPr>
      <w:shd w:val="clear" w:fill="FFAA3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2016-09-01T03:06:43Z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