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ascii="Times New Roman" w:hAnsi="Times New Roman" w:cs="Times New Roman"/>
          <w:b w:val="0"/>
          <w:i w:val="0"/>
          <w:caps w:val="0"/>
          <w:color w:val="45454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454545"/>
          <w:spacing w:val="0"/>
          <w:sz w:val="32"/>
          <w:szCs w:val="32"/>
          <w:bdr w:val="none" w:color="auto" w:sz="0" w:space="0"/>
          <w:shd w:val="clear" w:fill="FFFFFF"/>
        </w:rPr>
        <w:t>拟聘人员名单：</w:t>
      </w:r>
    </w:p>
    <w:tbl>
      <w:tblPr>
        <w:tblW w:w="958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059"/>
        <w:gridCol w:w="1056"/>
        <w:gridCol w:w="1264"/>
        <w:gridCol w:w="816"/>
        <w:gridCol w:w="684"/>
        <w:gridCol w:w="720"/>
        <w:gridCol w:w="828"/>
        <w:gridCol w:w="72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聘用单位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职位代码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21"/>
                <w:szCs w:val="21"/>
                <w:bdr w:val="none" w:color="auto" w:sz="0" w:space="0"/>
              </w:rPr>
              <w:t>总成绩（分）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越秀区旅游发展中心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宣传推广部专员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20160012515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崔方琼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69.64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