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435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"http://www.nanhai.gov.cn/cms/servlet/TwoBarCodeServlet.do?content=/cms/html/13031/2016/20161028182001111857426/20161028182001111857426_1.html" \* MERGEFORMATINET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971550" cy="971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226" w:beforeAutospacing="0" w:after="226" w:afterAutospacing="0" w:line="435" w:lineRule="atLeast"/>
        <w:ind w:left="0" w:right="0"/>
        <w:rPr>
          <w:color w:val="E80C0C"/>
          <w:sz w:val="24"/>
          <w:szCs w:val="24"/>
        </w:rPr>
      </w:pPr>
      <w:r>
        <w:rPr>
          <w:rFonts w:hint="eastAsia" w:ascii="宋体" w:hAnsi="宋体" w:eastAsia="宋体" w:cs="宋体"/>
          <w:color w:val="E80C0C"/>
          <w:sz w:val="24"/>
          <w:szCs w:val="24"/>
          <w:bdr w:val="none" w:color="auto" w:sz="0" w:space="0"/>
        </w:rPr>
        <w:t>扫描二维码</w:t>
      </w:r>
    </w:p>
    <w:p>
      <w:pPr>
        <w:pStyle w:val="5"/>
        <w:keepNext w:val="0"/>
        <w:keepLines w:val="0"/>
        <w:widowControl/>
        <w:suppressLineNumbers w:val="0"/>
        <w:pBdr>
          <w:left w:val="none" w:color="auto" w:sz="0" w:space="0"/>
        </w:pBdr>
        <w:spacing w:before="226" w:beforeAutospacing="0" w:after="226" w:afterAutospacing="0" w:line="435" w:lineRule="atLeast"/>
        <w:ind w:left="0" w:right="0"/>
        <w:rPr>
          <w:color w:val="E80C0C"/>
          <w:sz w:val="24"/>
          <w:szCs w:val="24"/>
        </w:rPr>
      </w:pPr>
      <w:r>
        <w:rPr>
          <w:rFonts w:hint="eastAsia" w:ascii="宋体" w:hAnsi="宋体" w:eastAsia="宋体" w:cs="宋体"/>
          <w:color w:val="E80C0C"/>
          <w:sz w:val="24"/>
          <w:szCs w:val="24"/>
          <w:bdr w:val="none" w:color="auto" w:sz="0" w:space="0"/>
        </w:rPr>
        <w:t>收藏本页面</w:t>
      </w:r>
    </w:p>
    <w:tbl>
      <w:tblPr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215"/>
        <w:gridCol w:w="990"/>
        <w:gridCol w:w="1080"/>
        <w:gridCol w:w="930"/>
        <w:gridCol w:w="1005"/>
        <w:gridCol w:w="1125"/>
        <w:gridCol w:w="1140"/>
        <w:gridCol w:w="103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按40%折算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组织考察成绩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九江国土所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81.77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九江镇三防指挥所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20.44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九江司法所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20.44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国土城建和水务局（建设）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A0410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91.59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结算中心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B0107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水利排灌站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B0211</w:t>
            </w:r>
          </w:p>
        </w:tc>
        <w:tc>
          <w:tcPr>
            <w:tcW w:w="990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930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64.69</w:t>
            </w:r>
          </w:p>
        </w:tc>
        <w:tc>
          <w:tcPr>
            <w:tcW w:w="1005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房管所（计算机类）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B0401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215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房管所(财经类）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B0516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78.91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215" w:type="dxa"/>
            <w:gridSpan w:val="10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备注：拟录用人员将进行体检政审环节，时间另行通知。镇组办联系电话：86509309。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8138B0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2016-10-31T08:03:42Z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