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36"/>
          <w:szCs w:val="36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36"/>
          <w:szCs w:val="36"/>
          <w:shd w:val="clear" w:fill="FFFFFF"/>
        </w:rPr>
        <w:t>思明区民政局补充非在编聘用人员拟录用人员岗位</w:t>
      </w:r>
    </w:p>
    <w:p>
      <w:pPr>
        <w:keepNext w:val="0"/>
        <w:keepLines w:val="0"/>
        <w:widowControl/>
        <w:suppressLineNumbers w:val="0"/>
        <w:spacing w:before="226" w:beforeAutospacing="0" w:after="226" w:afterAutospacing="0" w:line="450" w:lineRule="atLeast"/>
        <w:ind w:left="0" w:right="0"/>
        <w:jc w:val="left"/>
        <w:rPr>
          <w:sz w:val="22"/>
          <w:szCs w:val="28"/>
        </w:rPr>
      </w:pPr>
      <w:r>
        <w:rPr>
          <w:rFonts w:ascii="仿宋_GB2312" w:hAnsi="微软雅黑" w:eastAsia="仿宋_GB2312" w:cs="仿宋_GB2312"/>
          <w:color w:val="000000"/>
          <w:kern w:val="0"/>
          <w:sz w:val="36"/>
          <w:szCs w:val="36"/>
          <w:lang w:val="en-US" w:eastAsia="zh-CN" w:bidi="ar"/>
        </w:rPr>
        <w:t>一、岗位：</w:t>
      </w:r>
      <w:r>
        <w:rPr>
          <w:rFonts w:hint="default" w:ascii="仿宋_GB2312" w:hAnsi="微软雅黑" w:eastAsia="仿宋_GB2312" w:cs="仿宋_GB2312"/>
          <w:color w:val="000000"/>
          <w:kern w:val="0"/>
          <w:sz w:val="36"/>
          <w:szCs w:val="36"/>
          <w:lang w:val="en-US" w:eastAsia="zh-CN" w:bidi="ar"/>
        </w:rPr>
        <w:t>民政社会事务1辅助人员岗位：</w:t>
      </w:r>
    </w:p>
    <w:tbl>
      <w:tblPr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858"/>
        <w:gridCol w:w="1338"/>
        <w:gridCol w:w="865"/>
        <w:gridCol w:w="1338"/>
        <w:gridCol w:w="1018"/>
        <w:gridCol w:w="777"/>
        <w:gridCol w:w="778"/>
        <w:gridCol w:w="6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笔试成绩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笔试成绩（50%）</w:t>
            </w:r>
          </w:p>
        </w:tc>
        <w:tc>
          <w:tcPr>
            <w:tcW w:w="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面试成绩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面试成绩（50%）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总成绩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体检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政审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李玲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45.7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22.85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78.8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39.4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62.25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合格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spacing w:before="226" w:beforeAutospacing="0" w:after="226" w:afterAutospacing="0" w:line="450" w:lineRule="atLeast"/>
        <w:ind w:left="0" w:right="0"/>
        <w:jc w:val="left"/>
        <w:rPr>
          <w:sz w:val="22"/>
          <w:szCs w:val="28"/>
        </w:rPr>
      </w:pPr>
      <w:bookmarkStart w:id="0" w:name="_GoBack"/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    注：民政社会事务1岗辅助人员总成绩第1名考生因个人原因放</w:t>
      </w:r>
      <w:bookmarkEnd w:id="0"/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弃拟聘用资格，由该岗位综合总分第2名应聘人员依次递补。</w:t>
      </w:r>
    </w:p>
    <w:p>
      <w:pPr>
        <w:keepNext w:val="0"/>
        <w:keepLines w:val="0"/>
        <w:widowControl/>
        <w:suppressLineNumbers w:val="0"/>
        <w:spacing w:before="226" w:beforeAutospacing="0" w:after="226" w:afterAutospacing="0" w:line="450" w:lineRule="atLeast"/>
        <w:ind w:left="0" w:right="0"/>
        <w:jc w:val="left"/>
        <w:rPr>
          <w:sz w:val="22"/>
          <w:szCs w:val="28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6"/>
          <w:szCs w:val="36"/>
          <w:lang w:val="en-US" w:eastAsia="zh-CN" w:bidi="ar"/>
        </w:rPr>
        <w:t>    二、岗位：民政社会事务2辅助人员岗位：</w:t>
      </w:r>
    </w:p>
    <w:tbl>
      <w:tblPr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858"/>
        <w:gridCol w:w="1338"/>
        <w:gridCol w:w="865"/>
        <w:gridCol w:w="1338"/>
        <w:gridCol w:w="959"/>
        <w:gridCol w:w="792"/>
        <w:gridCol w:w="793"/>
        <w:gridCol w:w="6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笔试成绩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笔试成绩（50%）</w:t>
            </w:r>
          </w:p>
        </w:tc>
        <w:tc>
          <w:tcPr>
            <w:tcW w:w="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面试成绩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面试成绩（50%）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总成绩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体检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政审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曹琰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57.4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28.7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86.8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43.4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72.1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</w:tbl>
    <w:p>
      <w:pP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318BB"/>
    <w:rsid w:val="4C8318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sp1"/>
    <w:basedOn w:val="2"/>
    <w:uiPriority w:val="0"/>
  </w:style>
  <w:style w:type="character" w:customStyle="1" w:styleId="7">
    <w:name w:val="torange1"/>
    <w:basedOn w:val="2"/>
    <w:uiPriority w:val="0"/>
    <w:rPr>
      <w:color w:val="FD5330"/>
    </w:rPr>
  </w:style>
  <w:style w:type="character" w:customStyle="1" w:styleId="8">
    <w:name w:val="sp2"/>
    <w:basedOn w:val="2"/>
    <w:uiPriority w:val="0"/>
  </w:style>
  <w:style w:type="character" w:customStyle="1" w:styleId="9">
    <w:name w:val="sp3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2016-11-02T11:57:00Z</dcterms:created>
  <dc:creator>guoqiang</dc:creator>
  <cp:lastModifiedBy>guoqiang</cp:lastModifiedBy>
  <dcterms:modified xsi:type="dcterms:W3CDTF">2016-11-02T11:58:42Z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