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ascii="仿宋_GB2312" w:hAnsi="宋体" w:eastAsia="仿宋_GB2312" w:cs="仿宋_GB2312"/>
          <w:b w:val="0"/>
          <w:i w:val="0"/>
          <w:caps w:val="0"/>
          <w:color w:val="FF0000"/>
          <w:spacing w:val="0"/>
          <w:sz w:val="24"/>
          <w:szCs w:val="24"/>
          <w:shd w:val="clear" w:fill="FFFFFF"/>
        </w:rPr>
        <w:t>天津经济技术开发区公开招聘非公党建专职工作人员总成绩公告</w:t>
      </w:r>
    </w:p>
    <w:bookmarkEnd w:id="0"/>
    <w:tbl>
      <w:tblPr>
        <w:tblW w:w="62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660"/>
        <w:gridCol w:w="900"/>
        <w:gridCol w:w="1080"/>
        <w:gridCol w:w="108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申论成绩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01010001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79.9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59.95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52.4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56.3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56.1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45.55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45.3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45.8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47.1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36.05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01010002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非公党建指导员岗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01020034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12.5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91332"/>
    <w:rsid w:val="4BA913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2016-12-22T07:23:00Z</dcterms:created>
  <dc:creator>ASUS</dc:creator>
  <cp:lastModifiedBy>ASUS</cp:lastModifiedBy>
  <dcterms:modified xsi:type="dcterms:W3CDTF">2016-12-22T07:24:05Z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