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44" w:lineRule="exact"/>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2016年下半年公开招聘市接待服务中心工作人员考试总成绩及体检入闱人员名单</w:t>
      </w:r>
    </w:p>
    <w:p>
      <w:pPr>
        <w:keepNext w:val="0"/>
        <w:keepLines w:val="0"/>
        <w:widowControl w:val="0"/>
        <w:suppressLineNumbers w:val="0"/>
        <w:spacing w:before="0" w:beforeAutospacing="0" w:after="0" w:afterAutospacing="0" w:line="544" w:lineRule="exact"/>
        <w:ind w:left="0" w:right="0"/>
        <w:jc w:val="center"/>
        <w:rPr>
          <w:rFonts w:hint="eastAsia" w:ascii="方正小标宋简体" w:hAnsi="方正小标宋简体" w:eastAsia="方正小标宋简体" w:cs="方正小标宋简体"/>
          <w:bCs/>
          <w:sz w:val="44"/>
          <w:szCs w:val="44"/>
          <w:lang w:val="en-US"/>
        </w:rPr>
      </w:pPr>
    </w:p>
    <w:tbl>
      <w:tblPr>
        <w:tblW w:w="19319" w:type="dxa"/>
        <w:jc w:val="center"/>
        <w:tblInd w:w="-53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2193"/>
        <w:gridCol w:w="1689"/>
        <w:gridCol w:w="1162"/>
        <w:gridCol w:w="1273"/>
        <w:gridCol w:w="2245"/>
        <w:gridCol w:w="1233"/>
        <w:gridCol w:w="956"/>
        <w:gridCol w:w="1278"/>
        <w:gridCol w:w="1119"/>
        <w:gridCol w:w="1123"/>
        <w:gridCol w:w="1123"/>
        <w:gridCol w:w="1439"/>
        <w:gridCol w:w="1246"/>
        <w:gridCol w:w="1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Ex>
        <w:trPr>
          <w:trHeight w:val="1114" w:hRule="atLeast"/>
          <w:tblHeader/>
          <w:jc w:val="center"/>
        </w:trPr>
        <w:tc>
          <w:tcPr>
            <w:tcW w:w="21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报考单位</w:t>
            </w:r>
          </w:p>
        </w:tc>
        <w:tc>
          <w:tcPr>
            <w:tcW w:w="1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报考岗位</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考生</w:t>
            </w:r>
          </w:p>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姓名</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岗位</w:t>
            </w:r>
          </w:p>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编码</w:t>
            </w: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准考证号</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8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政策性</w:t>
            </w:r>
          </w:p>
          <w:p>
            <w:pPr>
              <w:keepNext w:val="0"/>
              <w:keepLines w:val="0"/>
              <w:widowControl/>
              <w:suppressLineNumbers w:val="0"/>
              <w:spacing w:before="0" w:beforeAutospacing="0" w:after="0" w:afterAutospacing="0" w:line="28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加分</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笔试</w:t>
            </w:r>
          </w:p>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成绩</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笔试折</w:t>
            </w:r>
          </w:p>
          <w:p>
            <w:pPr>
              <w:keepNext w:val="0"/>
              <w:keepLines w:val="0"/>
              <w:widowControl/>
              <w:suppressLineNumbers w:val="0"/>
              <w:spacing w:before="0" w:beforeAutospacing="0" w:after="0" w:afterAutospacing="0" w:line="32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合成绩</w:t>
            </w:r>
          </w:p>
        </w:tc>
        <w:tc>
          <w:tcPr>
            <w:tcW w:w="11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面试</w:t>
            </w:r>
          </w:p>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成绩</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面试折</w:t>
            </w:r>
          </w:p>
          <w:p>
            <w:pPr>
              <w:keepNext w:val="0"/>
              <w:keepLines w:val="0"/>
              <w:widowControl/>
              <w:suppressLineNumbers w:val="0"/>
              <w:spacing w:before="0" w:beforeAutospacing="0" w:after="0" w:afterAutospacing="0" w:line="32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合成绩</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总考分</w:t>
            </w:r>
          </w:p>
        </w:tc>
        <w:tc>
          <w:tcPr>
            <w:tcW w:w="1439"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考试总</w:t>
            </w:r>
          </w:p>
          <w:p>
            <w:pPr>
              <w:keepNext w:val="0"/>
              <w:keepLines w:val="0"/>
              <w:widowControl/>
              <w:suppressLineNumbers w:val="0"/>
              <w:spacing w:before="0" w:beforeAutospacing="0" w:after="0" w:afterAutospacing="0" w:line="32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成绩排名</w:t>
            </w:r>
          </w:p>
        </w:tc>
        <w:tc>
          <w:tcPr>
            <w:tcW w:w="1246"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体检是</w:t>
            </w:r>
          </w:p>
          <w:p>
            <w:pPr>
              <w:keepNext w:val="0"/>
              <w:keepLines w:val="0"/>
              <w:widowControl/>
              <w:suppressLineNumbers w:val="0"/>
              <w:spacing w:before="0" w:beforeAutospacing="0" w:after="0" w:afterAutospacing="0" w:line="32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否入闱</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黑体" w:hAnsi="STFangsong" w:eastAsia="黑体" w:cs="黑体"/>
                <w:kern w:val="0"/>
                <w:sz w:val="28"/>
                <w:szCs w:val="28"/>
                <w:bdr w:val="none" w:color="auto" w:sz="0" w:space="0"/>
                <w:lang w:val="en-US"/>
              </w:rPr>
            </w:pPr>
            <w:r>
              <w:rPr>
                <w:rFonts w:hint="eastAsia" w:ascii="黑体" w:hAnsi="STFangsong" w:eastAsia="黑体" w:cs="黑体"/>
                <w:kern w:val="0"/>
                <w:sz w:val="28"/>
                <w:szCs w:val="28"/>
                <w:bdr w:val="none" w:color="auto" w:sz="0" w:space="0"/>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jc w:val="center"/>
        </w:trPr>
        <w:tc>
          <w:tcPr>
            <w:tcW w:w="21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spacing w:val="-8"/>
                <w:sz w:val="30"/>
                <w:szCs w:val="30"/>
                <w:bdr w:val="none" w:color="auto" w:sz="0" w:space="0"/>
                <w:lang w:val="en-US"/>
              </w:rPr>
            </w:pPr>
            <w:r>
              <w:rPr>
                <w:rFonts w:hint="eastAsia" w:ascii="仿宋_GB2312" w:hAnsi="仿宋_GB2312" w:eastAsia="仿宋_GB2312" w:cs="仿宋_GB2312"/>
                <w:spacing w:val="-8"/>
                <w:kern w:val="2"/>
                <w:sz w:val="30"/>
                <w:szCs w:val="30"/>
                <w:bdr w:val="none" w:color="auto" w:sz="0" w:space="0"/>
                <w:lang w:val="en-US" w:eastAsia="zh-CN" w:bidi="ar"/>
              </w:rPr>
              <w:t>广元市接待服务中心</w:t>
            </w:r>
          </w:p>
        </w:tc>
        <w:tc>
          <w:tcPr>
            <w:tcW w:w="1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行政管理</w:t>
            </w:r>
          </w:p>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pacing w:val="-28"/>
                <w:sz w:val="30"/>
                <w:szCs w:val="30"/>
                <w:bdr w:val="none" w:color="auto" w:sz="0" w:space="0"/>
                <w:lang w:val="en-US"/>
              </w:rPr>
            </w:pPr>
            <w:r>
              <w:rPr>
                <w:rFonts w:hint="eastAsia" w:ascii="仿宋_GB2312" w:hAnsi="仿宋_GB2312" w:eastAsia="仿宋_GB2312" w:cs="仿宋_GB2312"/>
                <w:spacing w:val="-28"/>
                <w:kern w:val="2"/>
                <w:sz w:val="30"/>
                <w:szCs w:val="30"/>
                <w:bdr w:val="none" w:color="auto" w:sz="0" w:space="0"/>
                <w:lang w:val="en-US" w:eastAsia="zh-CN" w:bidi="ar"/>
              </w:rPr>
              <w:t>（管理岗位）</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王君芳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162030</w:t>
            </w: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6120307023630</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67</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40.2</w:t>
            </w:r>
          </w:p>
        </w:tc>
        <w:tc>
          <w:tcPr>
            <w:tcW w:w="11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62.6</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pacing w:val="-4"/>
                <w:sz w:val="30"/>
                <w:szCs w:val="30"/>
                <w:bdr w:val="none" w:color="auto" w:sz="0" w:space="0"/>
                <w:lang w:val="en-US"/>
              </w:rPr>
            </w:pPr>
            <w:r>
              <w:rPr>
                <w:rFonts w:hint="eastAsia" w:ascii="仿宋_GB2312" w:hAnsi="仿宋_GB2312" w:eastAsia="仿宋_GB2312" w:cs="仿宋_GB2312"/>
                <w:spacing w:val="-4"/>
                <w:kern w:val="2"/>
                <w:sz w:val="30"/>
                <w:szCs w:val="30"/>
                <w:bdr w:val="none" w:color="auto" w:sz="0" w:space="0"/>
                <w:lang w:val="en-US" w:eastAsia="zh-CN" w:bidi="ar"/>
              </w:rPr>
              <w:t>25.04</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pacing w:val="-4"/>
                <w:sz w:val="30"/>
                <w:szCs w:val="30"/>
                <w:bdr w:val="none" w:color="auto" w:sz="0" w:space="0"/>
                <w:lang w:val="en-US"/>
              </w:rPr>
            </w:pPr>
            <w:r>
              <w:rPr>
                <w:rFonts w:hint="eastAsia" w:ascii="仿宋_GB2312" w:hAnsi="仿宋_GB2312" w:eastAsia="仿宋_GB2312" w:cs="仿宋_GB2312"/>
                <w:spacing w:val="-4"/>
                <w:kern w:val="2"/>
                <w:sz w:val="30"/>
                <w:szCs w:val="30"/>
                <w:bdr w:val="none" w:color="auto" w:sz="0" w:space="0"/>
                <w:lang w:val="en-US" w:eastAsia="zh-CN" w:bidi="ar"/>
              </w:rPr>
              <w:t>65.24</w:t>
            </w:r>
          </w:p>
        </w:tc>
        <w:tc>
          <w:tcPr>
            <w:tcW w:w="1439"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1</w:t>
            </w:r>
          </w:p>
        </w:tc>
        <w:tc>
          <w:tcPr>
            <w:tcW w:w="1246"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是</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jc w:val="center"/>
        </w:trPr>
        <w:tc>
          <w:tcPr>
            <w:tcW w:w="21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8"/>
                <w:kern w:val="2"/>
                <w:sz w:val="30"/>
                <w:szCs w:val="30"/>
                <w:bdr w:val="none" w:color="auto" w:sz="0" w:space="0"/>
                <w:lang w:val="en-US" w:eastAsia="zh-CN" w:bidi="ar"/>
              </w:rPr>
              <w:t>广元市接待服务中心</w:t>
            </w:r>
          </w:p>
        </w:tc>
        <w:tc>
          <w:tcPr>
            <w:tcW w:w="1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行政管理</w:t>
            </w:r>
          </w:p>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28"/>
                <w:kern w:val="2"/>
                <w:sz w:val="30"/>
                <w:szCs w:val="30"/>
                <w:bdr w:val="none" w:color="auto" w:sz="0" w:space="0"/>
                <w:lang w:val="en-US" w:eastAsia="zh-CN" w:bidi="ar"/>
              </w:rPr>
              <w:t>（管理岗位）</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162030</w:t>
            </w: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6120307024126</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69</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41.4</w:t>
            </w:r>
          </w:p>
        </w:tc>
        <w:tc>
          <w:tcPr>
            <w:tcW w:w="11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57.6</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23.04</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64.44</w:t>
            </w:r>
          </w:p>
        </w:tc>
        <w:tc>
          <w:tcPr>
            <w:tcW w:w="1439"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2</w:t>
            </w:r>
          </w:p>
        </w:tc>
        <w:tc>
          <w:tcPr>
            <w:tcW w:w="1246"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jc w:val="center"/>
        </w:trPr>
        <w:tc>
          <w:tcPr>
            <w:tcW w:w="21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8"/>
                <w:kern w:val="2"/>
                <w:sz w:val="30"/>
                <w:szCs w:val="30"/>
                <w:bdr w:val="none" w:color="auto" w:sz="0" w:space="0"/>
                <w:lang w:val="en-US" w:eastAsia="zh-CN" w:bidi="ar"/>
              </w:rPr>
              <w:t>广元市接待服务中心</w:t>
            </w:r>
          </w:p>
        </w:tc>
        <w:tc>
          <w:tcPr>
            <w:tcW w:w="1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行政管理</w:t>
            </w:r>
          </w:p>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28"/>
                <w:kern w:val="2"/>
                <w:sz w:val="30"/>
                <w:szCs w:val="30"/>
                <w:bdr w:val="none" w:color="auto" w:sz="0" w:space="0"/>
                <w:lang w:val="en-US" w:eastAsia="zh-CN" w:bidi="ar"/>
              </w:rPr>
              <w:t>（管理岗位）</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162030</w:t>
            </w: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6120307023901</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69</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41.4</w:t>
            </w:r>
          </w:p>
        </w:tc>
        <w:tc>
          <w:tcPr>
            <w:tcW w:w="11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57.4</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22.96</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64.36</w:t>
            </w:r>
          </w:p>
        </w:tc>
        <w:tc>
          <w:tcPr>
            <w:tcW w:w="1439"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3</w:t>
            </w:r>
          </w:p>
        </w:tc>
        <w:tc>
          <w:tcPr>
            <w:tcW w:w="1246"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jc w:val="center"/>
        </w:trPr>
        <w:tc>
          <w:tcPr>
            <w:tcW w:w="21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spacing w:val="-8"/>
                <w:sz w:val="30"/>
                <w:szCs w:val="30"/>
                <w:bdr w:val="none" w:color="auto" w:sz="0" w:space="0"/>
                <w:lang w:val="en-US"/>
              </w:rPr>
            </w:pPr>
            <w:r>
              <w:rPr>
                <w:rFonts w:hint="eastAsia" w:ascii="仿宋_GB2312" w:hAnsi="仿宋_GB2312" w:eastAsia="仿宋_GB2312" w:cs="仿宋_GB2312"/>
                <w:spacing w:val="-8"/>
                <w:kern w:val="2"/>
                <w:sz w:val="30"/>
                <w:szCs w:val="30"/>
                <w:bdr w:val="none" w:color="auto" w:sz="0" w:space="0"/>
                <w:lang w:val="en-US" w:eastAsia="zh-CN" w:bidi="ar"/>
              </w:rPr>
              <w:t>广元市接待服务中心</w:t>
            </w:r>
          </w:p>
        </w:tc>
        <w:tc>
          <w:tcPr>
            <w:tcW w:w="1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行政管理</w:t>
            </w:r>
          </w:p>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28"/>
                <w:kern w:val="2"/>
                <w:sz w:val="30"/>
                <w:szCs w:val="30"/>
                <w:bdr w:val="none" w:color="auto" w:sz="0" w:space="0"/>
                <w:lang w:val="en-US" w:eastAsia="zh-CN" w:bidi="ar"/>
              </w:rPr>
              <w:t>（管理岗位）</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162030</w:t>
            </w: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6120307024320</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4</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67</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40.2</w:t>
            </w:r>
          </w:p>
        </w:tc>
        <w:tc>
          <w:tcPr>
            <w:tcW w:w="11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58.8</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23.52</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63.72</w:t>
            </w:r>
          </w:p>
        </w:tc>
        <w:tc>
          <w:tcPr>
            <w:tcW w:w="1439"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4</w:t>
            </w:r>
          </w:p>
        </w:tc>
        <w:tc>
          <w:tcPr>
            <w:tcW w:w="1246"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jc w:val="center"/>
        </w:trPr>
        <w:tc>
          <w:tcPr>
            <w:tcW w:w="21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spacing w:val="-8"/>
                <w:sz w:val="30"/>
                <w:szCs w:val="30"/>
                <w:bdr w:val="none" w:color="auto" w:sz="0" w:space="0"/>
                <w:lang w:val="en-US"/>
              </w:rPr>
            </w:pPr>
            <w:r>
              <w:rPr>
                <w:rFonts w:hint="eastAsia" w:ascii="仿宋_GB2312" w:hAnsi="仿宋_GB2312" w:eastAsia="仿宋_GB2312" w:cs="仿宋_GB2312"/>
                <w:spacing w:val="-8"/>
                <w:kern w:val="2"/>
                <w:sz w:val="30"/>
                <w:szCs w:val="30"/>
                <w:bdr w:val="none" w:color="auto" w:sz="0" w:space="0"/>
                <w:lang w:val="en-US" w:eastAsia="zh-CN" w:bidi="ar"/>
              </w:rPr>
              <w:t>广元市接待服务中心</w:t>
            </w:r>
          </w:p>
        </w:tc>
        <w:tc>
          <w:tcPr>
            <w:tcW w:w="1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行政管理</w:t>
            </w:r>
          </w:p>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28"/>
                <w:kern w:val="2"/>
                <w:sz w:val="30"/>
                <w:szCs w:val="30"/>
                <w:bdr w:val="none" w:color="auto" w:sz="0" w:space="0"/>
                <w:lang w:val="en-US" w:eastAsia="zh-CN" w:bidi="ar"/>
              </w:rPr>
              <w:t>（管理岗位）</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162030</w:t>
            </w: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6120307023815</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67</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40.2</w:t>
            </w:r>
          </w:p>
        </w:tc>
        <w:tc>
          <w:tcPr>
            <w:tcW w:w="11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57</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22.8</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63</w:t>
            </w:r>
          </w:p>
        </w:tc>
        <w:tc>
          <w:tcPr>
            <w:tcW w:w="1439"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5</w:t>
            </w:r>
          </w:p>
        </w:tc>
        <w:tc>
          <w:tcPr>
            <w:tcW w:w="1246"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jc w:val="center"/>
        </w:trPr>
        <w:tc>
          <w:tcPr>
            <w:tcW w:w="21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spacing w:val="-8"/>
                <w:sz w:val="30"/>
                <w:szCs w:val="30"/>
                <w:bdr w:val="none" w:color="auto" w:sz="0" w:space="0"/>
                <w:lang w:val="en-US"/>
              </w:rPr>
            </w:pPr>
            <w:r>
              <w:rPr>
                <w:rFonts w:hint="eastAsia" w:ascii="仿宋_GB2312" w:hAnsi="仿宋_GB2312" w:eastAsia="仿宋_GB2312" w:cs="仿宋_GB2312"/>
                <w:spacing w:val="-8"/>
                <w:kern w:val="2"/>
                <w:sz w:val="30"/>
                <w:szCs w:val="30"/>
                <w:bdr w:val="none" w:color="auto" w:sz="0" w:space="0"/>
                <w:lang w:val="en-US" w:eastAsia="zh-CN" w:bidi="ar"/>
              </w:rPr>
              <w:t>广元市接待服务中心</w:t>
            </w:r>
          </w:p>
        </w:tc>
        <w:tc>
          <w:tcPr>
            <w:tcW w:w="1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行政管理</w:t>
            </w:r>
          </w:p>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28"/>
                <w:kern w:val="2"/>
                <w:sz w:val="30"/>
                <w:szCs w:val="30"/>
                <w:bdr w:val="none" w:color="auto" w:sz="0" w:space="0"/>
                <w:lang w:val="en-US" w:eastAsia="zh-CN" w:bidi="ar"/>
              </w:rPr>
              <w:t>（管理岗位）</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162030</w:t>
            </w: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6120307024103</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67</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40.2</w:t>
            </w:r>
          </w:p>
        </w:tc>
        <w:tc>
          <w:tcPr>
            <w:tcW w:w="11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57</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22.8</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63</w:t>
            </w:r>
          </w:p>
        </w:tc>
        <w:tc>
          <w:tcPr>
            <w:tcW w:w="1439"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5</w:t>
            </w:r>
          </w:p>
        </w:tc>
        <w:tc>
          <w:tcPr>
            <w:tcW w:w="1246"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jc w:val="center"/>
        </w:trPr>
        <w:tc>
          <w:tcPr>
            <w:tcW w:w="21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spacing w:val="-8"/>
                <w:sz w:val="30"/>
                <w:szCs w:val="30"/>
                <w:bdr w:val="none" w:color="auto" w:sz="0" w:space="0"/>
                <w:lang w:val="en-US"/>
              </w:rPr>
            </w:pPr>
            <w:r>
              <w:rPr>
                <w:rFonts w:hint="eastAsia" w:ascii="仿宋_GB2312" w:hAnsi="仿宋_GB2312" w:eastAsia="仿宋_GB2312" w:cs="仿宋_GB2312"/>
                <w:spacing w:val="-8"/>
                <w:kern w:val="2"/>
                <w:sz w:val="30"/>
                <w:szCs w:val="30"/>
                <w:bdr w:val="none" w:color="auto" w:sz="0" w:space="0"/>
                <w:lang w:val="en-US" w:eastAsia="zh-CN" w:bidi="ar"/>
              </w:rPr>
              <w:t>广元市接待服务中心</w:t>
            </w:r>
          </w:p>
        </w:tc>
        <w:tc>
          <w:tcPr>
            <w:tcW w:w="1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行政管理</w:t>
            </w:r>
          </w:p>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28"/>
                <w:kern w:val="2"/>
                <w:sz w:val="30"/>
                <w:szCs w:val="30"/>
                <w:bdr w:val="none" w:color="auto" w:sz="0" w:space="0"/>
                <w:lang w:val="en-US" w:eastAsia="zh-CN" w:bidi="ar"/>
              </w:rPr>
              <w:t>（管理岗位）</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162030</w:t>
            </w: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6120307023922</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552" w:lineRule="exact"/>
              <w:ind w:left="0" w:right="0"/>
              <w:jc w:val="center"/>
              <w:rPr>
                <w:rFonts w:hint="eastAsia" w:ascii="仿宋_GB2312" w:hAnsi="仿宋_GB2312" w:eastAsia="仿宋_GB2312" w:cs="仿宋_GB2312"/>
                <w:sz w:val="30"/>
                <w:szCs w:val="30"/>
                <w:bdr w:val="none" w:color="auto" w:sz="0" w:space="0"/>
                <w:lang w:val="en-US"/>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67</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40.2</w:t>
            </w:r>
          </w:p>
        </w:tc>
        <w:tc>
          <w:tcPr>
            <w:tcW w:w="11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56.4</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22.56</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62.76</w:t>
            </w:r>
          </w:p>
        </w:tc>
        <w:tc>
          <w:tcPr>
            <w:tcW w:w="1439"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r>
              <w:rPr>
                <w:rFonts w:hint="eastAsia" w:ascii="仿宋_GB2312" w:hAnsi="STFangsong" w:eastAsia="仿宋_GB2312" w:cs="仿宋_GB2312"/>
                <w:kern w:val="0"/>
                <w:sz w:val="30"/>
                <w:szCs w:val="30"/>
                <w:bdr w:val="none" w:color="auto" w:sz="0" w:space="0"/>
                <w:lang w:val="en-US" w:eastAsia="zh-CN" w:bidi="ar"/>
              </w:rPr>
              <w:t>7</w:t>
            </w:r>
          </w:p>
        </w:tc>
        <w:tc>
          <w:tcPr>
            <w:tcW w:w="1246" w:type="dxa"/>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STFangsong" w:eastAsia="仿宋_GB2312" w:cs="仿宋_GB2312"/>
                <w:kern w:val="0"/>
                <w:sz w:val="30"/>
                <w:szCs w:val="30"/>
                <w:bdr w:val="none" w:color="auto" w:sz="0" w:space="0"/>
                <w:lang w:val="en-US"/>
              </w:rPr>
            </w:pPr>
          </w:p>
        </w:tc>
        <w:tc>
          <w:tcPr>
            <w:tcW w:w="124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SimHei">
    <w:altName w:val="宋体"/>
    <w:panose1 w:val="02010609060101010101"/>
    <w:charset w:val="86"/>
    <w:family w:val="auto"/>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FangSong_GB2312">
    <w:altName w:val="微软雅黑"/>
    <w:panose1 w:val="02010609030101010101"/>
    <w:charset w:val="86"/>
    <w:family w:val="auto"/>
    <w:pitch w:val="fixed"/>
    <w:sig w:usb0="00000001" w:usb1="080E0000" w:usb2="00000010" w:usb3="00000000" w:csb0="00040000" w:csb1="00000000"/>
  </w:font>
  <w:font w:name="STFangsong">
    <w:altName w:val="宋体"/>
    <w:panose1 w:val="02010600040101010101"/>
    <w:charset w:val="86"/>
    <w:family w:val="auto"/>
    <w:pitch w:val="variable"/>
    <w:sig w:usb0="00000287" w:usb1="080F0000" w:usb2="00000010" w:usb3="00000000" w:csb0="0004009F" w:csb1="00000000"/>
  </w:font>
  <w:font w:name="@方正小标宋简体">
    <w:altName w:val="宋体"/>
    <w:panose1 w:val="02010601030101010101"/>
    <w:charset w:val="86"/>
    <w:family w:val="auto"/>
    <w:pitch w:val="variable"/>
    <w:sig w:usb0="00000001" w:usb1="080E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黑体">
    <w:altName w:val="宋体"/>
    <w:panose1 w:val="00000000000000000000"/>
    <w:charset w:val="00"/>
    <w:family w:val="auto"/>
    <w:pitch w:val="default"/>
    <w:sig w:usb0="00000000" w:usb1="00000000" w:usb2="00000000" w:usb3="00000000" w:csb0="00000000" w:csb1="00000000"/>
  </w:font>
  <w:font w:name="仿宋_GB2312">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A3A5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rPr>
  </w:style>
  <w:style w:type="paragraph" w:styleId="3">
    <w:name w:val="header"/>
    <w:basedOn w:val="1"/>
    <w:link w:val="6"/>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Header Char"/>
    <w:basedOn w:val="4"/>
    <w:link w:val="3"/>
    <w:uiPriority w:val="0"/>
    <w:rPr>
      <w:rFonts w:hint="default" w:ascii="Times New Roman" w:hAnsi="Times New Roman" w:cs="Times New Roman"/>
      <w:sz w:val="18"/>
      <w:szCs w:val="18"/>
    </w:rPr>
  </w:style>
  <w:style w:type="character" w:customStyle="1" w:styleId="7">
    <w:name w:val="Footer Char"/>
    <w:basedOn w:val="4"/>
    <w:link w:val="2"/>
    <w:uiPriority w:val="0"/>
    <w:rPr>
      <w:rFonts w:hint="default" w:ascii="Times New Roman" w:hAnsi="Times New Roman"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2017-02-20T10:55:24Z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