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</w:pPr>
      <w:r>
        <w:rPr>
          <w:rFonts w:ascii="文星简小标宋" w:hAnsi="宋体" w:eastAsia="文星简小标宋" w:cs="宋体"/>
          <w:bCs/>
          <w:color w:val="000000"/>
          <w:kern w:val="0"/>
          <w:sz w:val="44"/>
          <w:szCs w:val="44"/>
          <w:lang w:val="en-US" w:eastAsia="zh-CN" w:bidi="ar"/>
        </w:rPr>
        <w:t>天津交响乐团事业单位公开招聘拟聘用人员公示表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tbl>
      <w:tblPr>
        <w:tblpPr w:leftFromText="180" w:rightFromText="180" w:horzAnchor="margin" w:tblpXSpec="center" w:tblpY="627"/>
        <w:tblW w:w="12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21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181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张雯珠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20160102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小提琴演奏员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81.70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吴成昊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1984.06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管弦（打击）乐器演奏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20160202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巴松演奏员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80.35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  帆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音乐与舞蹈学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20160301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专业技术岗竖琴（钢琴）演奏员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80.85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03E88"/>
    <w:rsid w:val="57D03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2017-04-26T10:57:00Z</dcterms:created>
  <dc:creator>ASUS</dc:creator>
  <cp:lastModifiedBy>ASUS</cp:lastModifiedBy>
  <dcterms:modified xsi:type="dcterms:W3CDTF">2017-04-26T10:57:57Z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