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  <w:shd w:val="clear" w:fill="FFFFFF"/>
        </w:rPr>
        <w:t>现将拟录取人员考试成绩公布如下：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205"/>
        <w:gridCol w:w="1848"/>
        <w:gridCol w:w="1489"/>
        <w:gridCol w:w="1526"/>
        <w:gridCol w:w="15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14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（占40%）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（占60%）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易礼丽</w:t>
            </w:r>
          </w:p>
        </w:tc>
        <w:tc>
          <w:tcPr>
            <w:tcW w:w="18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三级雇员</w:t>
            </w:r>
          </w:p>
        </w:tc>
        <w:tc>
          <w:tcPr>
            <w:tcW w:w="14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91.1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85.46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钱怡</w:t>
            </w:r>
          </w:p>
        </w:tc>
        <w:tc>
          <w:tcPr>
            <w:tcW w:w="18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三级雇员（法学）</w:t>
            </w:r>
          </w:p>
        </w:tc>
        <w:tc>
          <w:tcPr>
            <w:tcW w:w="14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90.2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陈国雄</w:t>
            </w:r>
          </w:p>
        </w:tc>
        <w:tc>
          <w:tcPr>
            <w:tcW w:w="18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劳监协管员</w:t>
            </w:r>
          </w:p>
        </w:tc>
        <w:tc>
          <w:tcPr>
            <w:tcW w:w="14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89.5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77.9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5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2017-04-26T10:49:56Z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