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C5001E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C5001E"/>
          <w:spacing w:val="0"/>
          <w:sz w:val="25"/>
          <w:szCs w:val="25"/>
          <w:bdr w:val="none" w:color="auto" w:sz="0" w:space="0"/>
          <w:shd w:val="clear" w:fill="FFFFFF"/>
        </w:rPr>
        <w:t>2017年天津医科大学临床医学院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C5001E"/>
          <w:spacing w:val="0"/>
          <w:sz w:val="25"/>
          <w:szCs w:val="25"/>
          <w:bdr w:val="none" w:color="auto" w:sz="0" w:space="0"/>
          <w:shd w:val="clear" w:fill="FFFFFF"/>
        </w:rPr>
        <w:t>维修管理拟录用人员名单公示</w:t>
      </w:r>
    </w:p>
    <w:tbl>
      <w:tblPr>
        <w:tblpPr w:leftFromText="180" w:rightFromText="180" w:vertAnchor="text" w:horzAnchor="page" w:tblpX="1267" w:tblpY="873"/>
        <w:tblOverlap w:val="never"/>
        <w:tblW w:w="10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429"/>
        <w:gridCol w:w="1152"/>
        <w:gridCol w:w="673"/>
        <w:gridCol w:w="588"/>
        <w:gridCol w:w="6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</w:pPr>
            <w:r>
              <w:rPr>
                <w:rFonts w:ascii="仿宋_GB2312" w:eastAsia="仿宋_GB2312" w:cs="仿宋_GB2312" w:hAnsiTheme="minorHAns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6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 面貌</w:t>
            </w:r>
          </w:p>
        </w:tc>
        <w:tc>
          <w:tcPr>
            <w:tcW w:w="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张轶雄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1995.01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本：2013.09-2017.07 天津医科大学临床医学院　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公共事业管理专业　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21212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 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21212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 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21212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公示期内对以上人员有异议者，可向学院人事处反映。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2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12121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21212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公示起止时间：2017年 5月 2 日--2017年5月 4日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21212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 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16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21212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公示接待电话：022-63837087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74148"/>
    <w:rsid w:val="7BE741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2017-05-02T04:47:00Z</dcterms:created>
  <dc:creator>ASUS</dc:creator>
  <cp:lastModifiedBy>ASUS</cp:lastModifiedBy>
  <dcterms:modified xsi:type="dcterms:W3CDTF">2017-05-02T04:47:56Z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