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left="0" w:firstLine="600"/>
        <w:rPr>
          <w:rFonts w:hint="eastAsia" w:ascii="宋体" w:hAnsi="宋体" w:eastAsia="宋体" w:cs="宋体"/>
          <w:b w:val="0"/>
          <w:i w:val="0"/>
          <w:caps w:val="0"/>
          <w:color w:val="5A5A5A"/>
          <w:spacing w:val="0"/>
          <w:sz w:val="18"/>
          <w:szCs w:val="18"/>
        </w:rPr>
      </w:pPr>
      <w:r>
        <w:rPr>
          <w:rFonts w:ascii="仿宋" w:hAnsi="仿宋" w:eastAsia="仿宋" w:cs="仿宋"/>
          <w:b w:val="0"/>
          <w:i w:val="0"/>
          <w:caps w:val="0"/>
          <w:color w:val="5A5A5A"/>
          <w:spacing w:val="0"/>
          <w:sz w:val="30"/>
          <w:szCs w:val="30"/>
          <w:bdr w:val="none" w:color="auto" w:sz="0" w:space="0"/>
        </w:rPr>
        <w:t>一、取消招聘职位情况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left="0" w:firstLine="600"/>
        <w:rPr>
          <w:rFonts w:hint="eastAsia" w:ascii="宋体" w:hAnsi="宋体" w:eastAsia="宋体" w:cs="宋体"/>
          <w:b w:val="0"/>
          <w:i w:val="0"/>
          <w:caps w:val="0"/>
          <w:color w:val="5A5A5A"/>
          <w:spacing w:val="0"/>
          <w:sz w:val="18"/>
          <w:szCs w:val="18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5A5A5A"/>
          <w:spacing w:val="0"/>
          <w:sz w:val="30"/>
          <w:szCs w:val="30"/>
          <w:bdr w:val="none" w:color="auto" w:sz="0" w:space="0"/>
        </w:rPr>
        <w:t>因以下招聘岗位有效报考人员未达到笔试开考比例，予以取消（见下表）：</w:t>
      </w:r>
    </w:p>
    <w:tbl>
      <w:tblPr>
        <w:tblW w:w="8771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369"/>
        <w:gridCol w:w="1387"/>
        <w:gridCol w:w="1522"/>
        <w:gridCol w:w="1301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招聘单位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招聘岗位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招聘名额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开考比例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有效报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考人数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取消情况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新津县卫计局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妇产科02005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3:1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15" w:type="dxa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新津县卫计局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临床02006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3:1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15" w:type="dxa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新津县卫计局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临床02009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3:1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5A5A5A"/>
                <w:spacing w:val="0"/>
                <w:sz w:val="30"/>
                <w:szCs w:val="30"/>
                <w:bdr w:val="none" w:color="auto" w:sz="0" w:space="0"/>
              </w:rPr>
              <w:t>取消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F5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2017-06-13T12:05:31Z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