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2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8"/>
        <w:gridCol w:w="3579"/>
        <w:gridCol w:w="604"/>
        <w:gridCol w:w="1221"/>
        <w:gridCol w:w="853"/>
        <w:gridCol w:w="923"/>
        <w:gridCol w:w="1671"/>
        <w:gridCol w:w="1256"/>
        <w:gridCol w:w="948"/>
        <w:gridCol w:w="664"/>
        <w:gridCol w:w="2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380" w:hRule="atLeast"/>
        </w:trPr>
        <w:tc>
          <w:tcPr>
            <w:tcW w:w="14234" w:type="dxa"/>
            <w:gridSpan w:val="11"/>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36"/>
                <w:szCs w:val="36"/>
                <w:u w:val="none"/>
              </w:rPr>
            </w:pPr>
            <w:bookmarkStart w:id="0" w:name="_GoBack"/>
            <w:r>
              <w:rPr>
                <w:rFonts w:hint="eastAsia" w:ascii="宋体" w:hAnsi="宋体" w:eastAsia="宋体" w:cs="宋体"/>
                <w:b/>
                <w:i w:val="0"/>
                <w:caps w:val="0"/>
                <w:color w:val="000000"/>
                <w:spacing w:val="0"/>
                <w:kern w:val="0"/>
                <w:sz w:val="24"/>
                <w:szCs w:val="24"/>
                <w:u w:val="none"/>
                <w:lang w:val="en-US" w:eastAsia="zh-CN" w:bidi="ar"/>
              </w:rPr>
              <w:t>2017年上半年盐城市部分事业单位统一公开招聘工作人员部分岗位递补进入体检、考察环节人员名单公布</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0" w:hRule="atLeast"/>
        </w:trPr>
        <w:tc>
          <w:tcPr>
            <w:tcW w:w="438"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3579"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604"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1221"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853"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923"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1671"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1256"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948"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664"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c>
          <w:tcPr>
            <w:tcW w:w="2077" w:type="dxa"/>
            <w:shd w:val="clear" w:color="auto" w:fill="FFFFFF"/>
            <w:vAlign w:val="center"/>
          </w:tcPr>
          <w:p>
            <w:pPr>
              <w:jc w:val="center"/>
              <w:rPr>
                <w:rFonts w:hint="eastAsia" w:ascii="宋体" w:hAnsi="宋体" w:eastAsia="宋体" w:cs="宋体"/>
                <w:b/>
                <w:i w:val="0"/>
                <w:caps w:val="0"/>
                <w:color w:val="000000"/>
                <w:spacing w:val="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4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序号</w:t>
            </w:r>
          </w:p>
        </w:tc>
        <w:tc>
          <w:tcPr>
            <w:tcW w:w="35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部门名称</w:t>
            </w:r>
          </w:p>
        </w:tc>
        <w:tc>
          <w:tcPr>
            <w:tcW w:w="6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职位代码</w:t>
            </w:r>
          </w:p>
        </w:tc>
        <w:tc>
          <w:tcPr>
            <w:tcW w:w="12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职位名称</w:t>
            </w:r>
          </w:p>
        </w:tc>
        <w:tc>
          <w:tcPr>
            <w:tcW w:w="8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招聘</w:t>
            </w:r>
            <w:r>
              <w:rPr>
                <w:rFonts w:hint="eastAsia" w:ascii="宋体" w:hAnsi="宋体" w:eastAsia="宋体" w:cs="宋体"/>
                <w:b/>
                <w:i w:val="0"/>
                <w:caps w:val="0"/>
                <w:color w:val="000000"/>
                <w:spacing w:val="0"/>
                <w:kern w:val="0"/>
                <w:sz w:val="24"/>
                <w:szCs w:val="24"/>
                <w:u w:val="none"/>
                <w:lang w:val="en-US" w:eastAsia="zh-CN" w:bidi="ar"/>
              </w:rPr>
              <w:br w:type="textWrapping"/>
            </w:r>
            <w:r>
              <w:rPr>
                <w:rFonts w:hint="eastAsia" w:ascii="宋体" w:hAnsi="宋体" w:eastAsia="宋体" w:cs="宋体"/>
                <w:b/>
                <w:i w:val="0"/>
                <w:caps w:val="0"/>
                <w:color w:val="000000"/>
                <w:spacing w:val="0"/>
                <w:kern w:val="0"/>
                <w:sz w:val="24"/>
                <w:szCs w:val="24"/>
                <w:u w:val="none"/>
                <w:lang w:val="en-US" w:eastAsia="zh-CN" w:bidi="ar"/>
              </w:rPr>
              <w:t>计划数</w:t>
            </w:r>
          </w:p>
        </w:tc>
        <w:tc>
          <w:tcPr>
            <w:tcW w:w="9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考生</w:t>
            </w:r>
            <w:r>
              <w:rPr>
                <w:rFonts w:hint="eastAsia" w:ascii="宋体" w:hAnsi="宋体" w:eastAsia="宋体" w:cs="宋体"/>
                <w:b/>
                <w:i w:val="0"/>
                <w:caps w:val="0"/>
                <w:color w:val="000000"/>
                <w:spacing w:val="0"/>
                <w:kern w:val="0"/>
                <w:sz w:val="24"/>
                <w:szCs w:val="24"/>
                <w:u w:val="none"/>
                <w:lang w:val="en-US" w:eastAsia="zh-CN" w:bidi="ar"/>
              </w:rPr>
              <w:br w:type="textWrapping"/>
            </w:r>
            <w:r>
              <w:rPr>
                <w:rFonts w:hint="eastAsia" w:ascii="宋体" w:hAnsi="宋体" w:eastAsia="宋体" w:cs="宋体"/>
                <w:b/>
                <w:i w:val="0"/>
                <w:caps w:val="0"/>
                <w:color w:val="000000"/>
                <w:spacing w:val="0"/>
                <w:kern w:val="0"/>
                <w:sz w:val="24"/>
                <w:szCs w:val="24"/>
                <w:u w:val="none"/>
                <w:lang w:val="en-US" w:eastAsia="zh-CN" w:bidi="ar"/>
              </w:rPr>
              <w:t>姓名</w:t>
            </w:r>
          </w:p>
        </w:tc>
        <w:tc>
          <w:tcPr>
            <w:tcW w:w="16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百分制笔试成绩（50%）</w:t>
            </w:r>
          </w:p>
        </w:tc>
        <w:tc>
          <w:tcPr>
            <w:tcW w:w="12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面试成绩（50%）</w:t>
            </w:r>
          </w:p>
        </w:tc>
        <w:tc>
          <w:tcPr>
            <w:tcW w:w="9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总成绩</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职位</w:t>
            </w:r>
            <w:r>
              <w:rPr>
                <w:rFonts w:hint="eastAsia" w:ascii="宋体" w:hAnsi="宋体" w:eastAsia="宋体" w:cs="宋体"/>
                <w:b/>
                <w:i w:val="0"/>
                <w:caps w:val="0"/>
                <w:color w:val="000000"/>
                <w:spacing w:val="0"/>
                <w:kern w:val="0"/>
                <w:sz w:val="24"/>
                <w:szCs w:val="24"/>
                <w:u w:val="none"/>
                <w:lang w:val="en-US" w:eastAsia="zh-CN" w:bidi="ar"/>
              </w:rPr>
              <w:br w:type="textWrapping"/>
            </w:r>
            <w:r>
              <w:rPr>
                <w:rFonts w:hint="eastAsia" w:ascii="宋体" w:hAnsi="宋体" w:eastAsia="宋体" w:cs="宋体"/>
                <w:b/>
                <w:i w:val="0"/>
                <w:caps w:val="0"/>
                <w:color w:val="000000"/>
                <w:spacing w:val="0"/>
                <w:kern w:val="0"/>
                <w:sz w:val="24"/>
                <w:szCs w:val="24"/>
                <w:u w:val="none"/>
                <w:lang w:val="en-US" w:eastAsia="zh-CN" w:bidi="ar"/>
              </w:rPr>
              <w:t>排名</w:t>
            </w:r>
          </w:p>
        </w:tc>
        <w:tc>
          <w:tcPr>
            <w:tcW w:w="20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38" w:type="dxa"/>
            <w:vMerge w:val="restart"/>
            <w:tcBorders>
              <w:top w:val="single" w:color="333399" w:sz="8" w:space="0"/>
              <w:left w:val="single" w:color="333399" w:sz="8" w:space="0"/>
              <w:bottom w:val="single" w:color="333399" w:sz="8" w:space="0"/>
              <w:right w:val="single" w:color="333399"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ascii="仿宋" w:hAnsi="仿宋" w:eastAsia="仿宋" w:cs="仿宋"/>
                <w:i w:val="0"/>
                <w:caps w:val="0"/>
                <w:color w:val="000000"/>
                <w:spacing w:val="0"/>
                <w:sz w:val="20"/>
                <w:szCs w:val="20"/>
                <w:u w:val="none"/>
              </w:rPr>
            </w:pPr>
            <w:r>
              <w:rPr>
                <w:rFonts w:hint="eastAsia" w:ascii="仿宋" w:hAnsi="仿宋" w:eastAsia="仿宋" w:cs="仿宋"/>
                <w:i w:val="0"/>
                <w:caps w:val="0"/>
                <w:color w:val="000000"/>
                <w:spacing w:val="0"/>
                <w:kern w:val="0"/>
                <w:sz w:val="20"/>
                <w:szCs w:val="20"/>
                <w:u w:val="none"/>
                <w:lang w:val="en-US" w:eastAsia="zh-CN" w:bidi="ar"/>
              </w:rPr>
              <w:t>1</w:t>
            </w:r>
          </w:p>
        </w:tc>
        <w:tc>
          <w:tcPr>
            <w:tcW w:w="3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盐城交通运输局-</w:t>
            </w:r>
            <w:r>
              <w:rPr>
                <w:rFonts w:hint="eastAsia" w:ascii="仿宋" w:hAnsi="仿宋" w:eastAsia="仿宋" w:cs="仿宋"/>
                <w:i w:val="0"/>
                <w:caps w:val="0"/>
                <w:color w:val="000000"/>
                <w:spacing w:val="0"/>
                <w:kern w:val="0"/>
                <w:sz w:val="24"/>
                <w:szCs w:val="24"/>
                <w:u w:val="none"/>
                <w:lang w:val="en-US" w:eastAsia="zh-CN" w:bidi="ar"/>
              </w:rPr>
              <w:br w:type="textWrapping"/>
            </w:r>
            <w:r>
              <w:rPr>
                <w:rFonts w:hint="eastAsia" w:ascii="仿宋" w:hAnsi="仿宋" w:eastAsia="仿宋" w:cs="仿宋"/>
                <w:i w:val="0"/>
                <w:caps w:val="0"/>
                <w:color w:val="000000"/>
                <w:spacing w:val="0"/>
                <w:kern w:val="0"/>
                <w:sz w:val="24"/>
                <w:szCs w:val="24"/>
                <w:u w:val="none"/>
                <w:lang w:val="en-US" w:eastAsia="zh-CN" w:bidi="ar"/>
              </w:rPr>
              <w:t>盐城市交通综合服务信息中心</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018</w:t>
            </w:r>
          </w:p>
        </w:tc>
        <w:tc>
          <w:tcPr>
            <w:tcW w:w="122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信息采编员</w:t>
            </w:r>
          </w:p>
        </w:tc>
        <w:tc>
          <w:tcPr>
            <w:tcW w:w="8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2</w:t>
            </w:r>
          </w:p>
        </w:tc>
        <w:tc>
          <w:tcPr>
            <w:tcW w:w="9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蔡森</w:t>
            </w:r>
          </w:p>
        </w:tc>
        <w:tc>
          <w:tcPr>
            <w:tcW w:w="16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65.00 </w:t>
            </w:r>
          </w:p>
        </w:tc>
        <w:tc>
          <w:tcPr>
            <w:tcW w:w="12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72.60</w:t>
            </w:r>
          </w:p>
        </w:tc>
        <w:tc>
          <w:tcPr>
            <w:tcW w:w="9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68.80</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1</w:t>
            </w:r>
          </w:p>
        </w:tc>
        <w:tc>
          <w:tcPr>
            <w:tcW w:w="20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个人放弃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50" w:hRule="atLeast"/>
        </w:trPr>
        <w:tc>
          <w:tcPr>
            <w:tcW w:w="438" w:type="dxa"/>
            <w:vMerge w:val="continue"/>
            <w:tcBorders>
              <w:top w:val="single" w:color="333399" w:sz="8" w:space="0"/>
              <w:left w:val="single" w:color="333399" w:sz="8" w:space="0"/>
              <w:bottom w:val="single" w:color="333399" w:sz="8" w:space="0"/>
              <w:right w:val="single" w:color="333399" w:sz="8" w:space="0"/>
            </w:tcBorders>
            <w:shd w:val="clear" w:color="auto" w:fill="FFFFFF"/>
            <w:vAlign w:val="center"/>
          </w:tcPr>
          <w:p>
            <w:pPr>
              <w:jc w:val="center"/>
              <w:rPr>
                <w:rFonts w:hint="eastAsia" w:ascii="仿宋" w:hAnsi="仿宋" w:eastAsia="仿宋" w:cs="仿宋"/>
                <w:i w:val="0"/>
                <w:caps w:val="0"/>
                <w:color w:val="000000"/>
                <w:spacing w:val="0"/>
                <w:sz w:val="20"/>
                <w:szCs w:val="20"/>
                <w:u w:val="none"/>
              </w:rPr>
            </w:pPr>
          </w:p>
        </w:tc>
        <w:tc>
          <w:tcPr>
            <w:tcW w:w="3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122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8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9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高艳洁</w:t>
            </w:r>
          </w:p>
        </w:tc>
        <w:tc>
          <w:tcPr>
            <w:tcW w:w="16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57.67 </w:t>
            </w:r>
          </w:p>
        </w:tc>
        <w:tc>
          <w:tcPr>
            <w:tcW w:w="12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71.60</w:t>
            </w:r>
          </w:p>
        </w:tc>
        <w:tc>
          <w:tcPr>
            <w:tcW w:w="9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64.64</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3</w:t>
            </w:r>
          </w:p>
        </w:tc>
        <w:tc>
          <w:tcPr>
            <w:tcW w:w="20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3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2</w:t>
            </w:r>
          </w:p>
        </w:tc>
        <w:tc>
          <w:tcPr>
            <w:tcW w:w="3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盐城市民防局-</w:t>
            </w:r>
            <w:r>
              <w:rPr>
                <w:rFonts w:hint="eastAsia" w:ascii="仿宋" w:hAnsi="仿宋" w:eastAsia="仿宋" w:cs="仿宋"/>
                <w:i w:val="0"/>
                <w:caps w:val="0"/>
                <w:color w:val="000000"/>
                <w:spacing w:val="0"/>
                <w:kern w:val="0"/>
                <w:sz w:val="24"/>
                <w:szCs w:val="24"/>
                <w:u w:val="none"/>
                <w:lang w:val="en-US" w:eastAsia="zh-CN" w:bidi="ar"/>
              </w:rPr>
              <w:br w:type="textWrapping"/>
            </w:r>
            <w:r>
              <w:rPr>
                <w:rFonts w:hint="eastAsia" w:ascii="仿宋" w:hAnsi="仿宋" w:eastAsia="仿宋" w:cs="仿宋"/>
                <w:i w:val="0"/>
                <w:caps w:val="0"/>
                <w:color w:val="000000"/>
                <w:spacing w:val="0"/>
                <w:kern w:val="0"/>
                <w:sz w:val="24"/>
                <w:szCs w:val="24"/>
                <w:u w:val="none"/>
                <w:lang w:val="en-US" w:eastAsia="zh-CN" w:bidi="ar"/>
              </w:rPr>
              <w:t>盐城市民防（人防）指挥信息保障中心</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042</w:t>
            </w:r>
          </w:p>
        </w:tc>
        <w:tc>
          <w:tcPr>
            <w:tcW w:w="122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通信工程</w:t>
            </w:r>
          </w:p>
        </w:tc>
        <w:tc>
          <w:tcPr>
            <w:tcW w:w="8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1</w:t>
            </w:r>
          </w:p>
        </w:tc>
        <w:tc>
          <w:tcPr>
            <w:tcW w:w="9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孙苏昱</w:t>
            </w:r>
          </w:p>
        </w:tc>
        <w:tc>
          <w:tcPr>
            <w:tcW w:w="16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71.67 </w:t>
            </w:r>
          </w:p>
        </w:tc>
        <w:tc>
          <w:tcPr>
            <w:tcW w:w="12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70.60</w:t>
            </w:r>
          </w:p>
        </w:tc>
        <w:tc>
          <w:tcPr>
            <w:tcW w:w="9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71.14</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1</w:t>
            </w:r>
          </w:p>
        </w:tc>
        <w:tc>
          <w:tcPr>
            <w:tcW w:w="20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个人放弃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3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3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122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8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i w:val="0"/>
                <w:caps w:val="0"/>
                <w:color w:val="000000"/>
                <w:spacing w:val="0"/>
                <w:sz w:val="24"/>
                <w:szCs w:val="24"/>
                <w:u w:val="none"/>
              </w:rPr>
            </w:pPr>
          </w:p>
        </w:tc>
        <w:tc>
          <w:tcPr>
            <w:tcW w:w="9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王贤伟</w:t>
            </w:r>
          </w:p>
        </w:tc>
        <w:tc>
          <w:tcPr>
            <w:tcW w:w="16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72.33 </w:t>
            </w:r>
          </w:p>
        </w:tc>
        <w:tc>
          <w:tcPr>
            <w:tcW w:w="125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69.80</w:t>
            </w:r>
          </w:p>
        </w:tc>
        <w:tc>
          <w:tcPr>
            <w:tcW w:w="9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71.07</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2</w:t>
            </w:r>
          </w:p>
        </w:tc>
        <w:tc>
          <w:tcPr>
            <w:tcW w:w="20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line="240" w:lineRule="auto"/>
              <w:ind w:left="0" w:firstLine="0"/>
              <w:jc w:val="center"/>
              <w:textAlignment w:val="center"/>
              <w:rPr>
                <w:rFonts w:hint="eastAsia" w:ascii="仿宋" w:hAnsi="仿宋" w:eastAsia="仿宋" w:cs="仿宋"/>
                <w:i w:val="0"/>
                <w:caps w:val="0"/>
                <w:color w:val="000000"/>
                <w:spacing w:val="0"/>
                <w:sz w:val="24"/>
                <w:szCs w:val="24"/>
                <w:u w:val="none"/>
              </w:rPr>
            </w:pPr>
            <w:r>
              <w:rPr>
                <w:rFonts w:hint="eastAsia" w:ascii="仿宋" w:hAnsi="仿宋" w:eastAsia="仿宋" w:cs="仿宋"/>
                <w:i w:val="0"/>
                <w:caps w:val="0"/>
                <w:color w:val="000000"/>
                <w:spacing w:val="0"/>
                <w:kern w:val="0"/>
                <w:sz w:val="24"/>
                <w:szCs w:val="24"/>
                <w:u w:val="none"/>
                <w:lang w:val="en-US" w:eastAsia="zh-CN" w:bidi="ar"/>
              </w:rPr>
              <w:t>依次递补</w:t>
            </w:r>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D7363"/>
    <w:rsid w:val="2A8D73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2017-06-13T11:44:00Z</dcterms:created>
  <dc:creator>ASUS</dc:creator>
  <cp:lastModifiedBy>ASUS</cp:lastModifiedBy>
  <dcterms:modified xsi:type="dcterms:W3CDTF">2017-06-13T11:44:37Z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