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C47" w:rsidRPr="00EE5C1E" w:rsidRDefault="00C93C47" w:rsidP="00C93C47">
      <w:pPr>
        <w:jc w:val="center"/>
        <w:rPr>
          <w:rFonts w:ascii="宋体" w:hAnsi="宋体" w:cs="宋体" w:hint="eastAsia"/>
          <w:b/>
          <w:sz w:val="36"/>
          <w:szCs w:val="36"/>
        </w:rPr>
      </w:pPr>
      <w:r w:rsidRPr="00EE5C1E">
        <w:rPr>
          <w:rFonts w:ascii="宋体" w:hAnsi="宋体" w:cs="宋体" w:hint="eastAsia"/>
          <w:b/>
          <w:sz w:val="36"/>
          <w:szCs w:val="36"/>
        </w:rPr>
        <w:t>2017年上半年高二、高三</w:t>
      </w:r>
      <w:proofErr w:type="gramStart"/>
      <w:r w:rsidRPr="00EE5C1E">
        <w:rPr>
          <w:rFonts w:ascii="宋体" w:hAnsi="宋体" w:cs="宋体" w:hint="eastAsia"/>
          <w:b/>
          <w:sz w:val="36"/>
          <w:szCs w:val="36"/>
        </w:rPr>
        <w:t>学生学考报名</w:t>
      </w:r>
      <w:proofErr w:type="gramEnd"/>
      <w:r w:rsidRPr="00EE5C1E">
        <w:rPr>
          <w:rFonts w:ascii="宋体" w:hAnsi="宋体" w:cs="宋体" w:hint="eastAsia"/>
          <w:b/>
          <w:sz w:val="36"/>
          <w:szCs w:val="36"/>
        </w:rPr>
        <w:t>操作指南</w:t>
      </w:r>
    </w:p>
    <w:p w:rsidR="00C93C47" w:rsidRDefault="00C93C47" w:rsidP="00C93C47">
      <w:pPr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报名步骤</w:t>
      </w:r>
    </w:p>
    <w:p w:rsidR="00C93C47" w:rsidRDefault="00C93C47" w:rsidP="00C93C47">
      <w:pPr>
        <w:numPr>
          <w:ilvl w:val="0"/>
          <w:numId w:val="1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登陆“南昌市教育考试院主页-南昌市普通高中学业水平考试管理系统”，如图所示。</w:t>
      </w:r>
    </w:p>
    <w:p w:rsidR="00C93C47" w:rsidRDefault="00C93C47" w:rsidP="00C93C47">
      <w:pPr>
        <w:pStyle w:val="ListParagraph"/>
        <w:ind w:left="420" w:firstLineChars="0" w:firstLine="0"/>
        <w:jc w:val="center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noProof/>
          <w:sz w:val="32"/>
          <w:szCs w:val="32"/>
          <w:bdr w:val="single" w:sz="4" w:space="0" w:color="auto"/>
        </w:rPr>
        <w:drawing>
          <wp:inline distT="0" distB="0" distL="0" distR="0">
            <wp:extent cx="2638425" cy="3076575"/>
            <wp:effectExtent l="19050" t="0" r="9525" b="0"/>
            <wp:docPr id="1" name="图片 23" descr="MNT9%%1P0EIX[Z(1UI_174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 descr="MNT9%%1P0EIX[Z(1UI_174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C47" w:rsidRDefault="00C93C47" w:rsidP="00C93C47">
      <w:pPr>
        <w:pStyle w:val="ListParagraph"/>
        <w:numPr>
          <w:ilvl w:val="0"/>
          <w:numId w:val="2"/>
        </w:numPr>
        <w:tabs>
          <w:tab w:val="left" w:pos="420"/>
        </w:tabs>
        <w:ind w:left="840" w:firstLineChars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用户名和密码已在考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会上下发，请妥善保管初始密码。</w:t>
      </w:r>
    </w:p>
    <w:p w:rsidR="00C93C47" w:rsidRDefault="00C93C47" w:rsidP="00C93C47">
      <w:pPr>
        <w:pStyle w:val="ListParagraph"/>
        <w:numPr>
          <w:ilvl w:val="0"/>
          <w:numId w:val="2"/>
        </w:numPr>
        <w:tabs>
          <w:tab w:val="left" w:pos="420"/>
        </w:tabs>
        <w:ind w:left="840" w:firstLineChars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如需修改密码，请点击“控制面板”-“修改密码”进行修改，如下图所示。</w:t>
      </w:r>
    </w:p>
    <w:p w:rsidR="00C93C47" w:rsidRDefault="00C93C47" w:rsidP="00C93C47">
      <w:pPr>
        <w:pStyle w:val="ListParagraph"/>
        <w:ind w:left="420" w:firstLineChars="0" w:firstLine="0"/>
        <w:jc w:val="center"/>
        <w:rPr>
          <w:rFonts w:ascii="仿宋" w:eastAsia="仿宋" w:hAnsi="仿宋" w:cs="仿宋" w:hint="eastAsia"/>
          <w:sz w:val="32"/>
          <w:szCs w:val="32"/>
          <w:bdr w:val="single" w:sz="4" w:space="0" w:color="auto"/>
        </w:rPr>
      </w:pPr>
      <w:r>
        <w:rPr>
          <w:rFonts w:ascii="仿宋" w:eastAsia="仿宋" w:hAnsi="仿宋" w:cs="仿宋" w:hint="eastAsia"/>
          <w:noProof/>
          <w:sz w:val="32"/>
          <w:szCs w:val="32"/>
          <w:bdr w:val="single" w:sz="4" w:space="0" w:color="auto"/>
        </w:rPr>
        <w:drawing>
          <wp:inline distT="0" distB="0" distL="0" distR="0">
            <wp:extent cx="3810000" cy="876300"/>
            <wp:effectExtent l="19050" t="0" r="0" b="0"/>
            <wp:docPr id="2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C47" w:rsidRDefault="00C93C47" w:rsidP="00C93C47">
      <w:pPr>
        <w:numPr>
          <w:ilvl w:val="0"/>
          <w:numId w:val="1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首次登陆后点击“考生管理”，检查学生数据是否为本校学生，避免错领其他学校账号导致灾难性后果，如图。</w:t>
      </w:r>
    </w:p>
    <w:p w:rsidR="00C93C47" w:rsidRDefault="00C93C47" w:rsidP="00C93C47">
      <w:pPr>
        <w:ind w:left="40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noProof/>
          <w:bdr w:val="single" w:sz="4" w:space="0" w:color="auto"/>
        </w:rPr>
        <w:lastRenderedPageBreak/>
        <w:drawing>
          <wp:inline distT="0" distB="0" distL="0" distR="0">
            <wp:extent cx="4543425" cy="733425"/>
            <wp:effectExtent l="19050" t="0" r="9525" b="0"/>
            <wp:docPr id="3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78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C47" w:rsidRDefault="00C93C47" w:rsidP="00C93C47">
      <w:pPr>
        <w:numPr>
          <w:ilvl w:val="0"/>
          <w:numId w:val="1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请核准报名人数和科次（正常考生默认报名，有休、转、复学、留级以及放弃报名五种情况之一的学校应认真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核这些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学生的报名科目是否正确），对于高二高三学生，学校可采用上传的方式更新学生的班级信息，如需进行信息修改，请点击“信息变更”，如图。</w:t>
      </w:r>
    </w:p>
    <w:p w:rsidR="00C93C47" w:rsidRDefault="00C93C47" w:rsidP="00C93C47">
      <w:pPr>
        <w:jc w:val="center"/>
        <w:rPr>
          <w:rFonts w:hint="eastAsia"/>
          <w:bdr w:val="single" w:sz="4" w:space="0" w:color="auto"/>
        </w:rPr>
      </w:pPr>
      <w:r>
        <w:rPr>
          <w:noProof/>
          <w:bdr w:val="single" w:sz="4" w:space="0" w:color="auto"/>
        </w:rPr>
        <w:drawing>
          <wp:inline distT="0" distB="0" distL="0" distR="0">
            <wp:extent cx="4400550" cy="495300"/>
            <wp:effectExtent l="19050" t="0" r="0" b="0"/>
            <wp:docPr id="4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38908" b="33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C47" w:rsidRDefault="00C93C47" w:rsidP="00C93C47">
      <w:pPr>
        <w:numPr>
          <w:ilvl w:val="0"/>
          <w:numId w:val="1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请提醒学生在报名结束前登录系统在线完成缴费，否则视为报名无效。</w:t>
      </w:r>
    </w:p>
    <w:p w:rsidR="00C93C47" w:rsidRDefault="00C93C47" w:rsidP="00C93C47">
      <w:pPr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缴费方式</w:t>
      </w:r>
    </w:p>
    <w:p w:rsidR="00C93C47" w:rsidRPr="00A4719A" w:rsidRDefault="00C93C47" w:rsidP="00C93C47">
      <w:pPr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  </w:t>
      </w:r>
      <w:proofErr w:type="gramStart"/>
      <w:r w:rsidRPr="00A4719A">
        <w:rPr>
          <w:rFonts w:ascii="仿宋" w:eastAsia="仿宋" w:hAnsi="仿宋" w:cs="仿宋" w:hint="eastAsia"/>
          <w:bCs/>
          <w:sz w:val="32"/>
          <w:szCs w:val="32"/>
        </w:rPr>
        <w:t>本次学考报名</w:t>
      </w:r>
      <w:proofErr w:type="gramEnd"/>
      <w:r w:rsidRPr="00A4719A">
        <w:rPr>
          <w:rFonts w:ascii="仿宋" w:eastAsia="仿宋" w:hAnsi="仿宋" w:cs="仿宋" w:hint="eastAsia"/>
          <w:bCs/>
          <w:sz w:val="32"/>
          <w:szCs w:val="32"/>
        </w:rPr>
        <w:t>缴费</w:t>
      </w:r>
      <w:r>
        <w:rPr>
          <w:rFonts w:ascii="仿宋" w:eastAsia="仿宋" w:hAnsi="仿宋" w:cs="仿宋" w:hint="eastAsia"/>
          <w:bCs/>
          <w:sz w:val="32"/>
          <w:szCs w:val="32"/>
        </w:rPr>
        <w:t>采用两种缴费方式：学生教育</w:t>
      </w:r>
      <w:proofErr w:type="gramStart"/>
      <w:r>
        <w:rPr>
          <w:rFonts w:ascii="仿宋" w:eastAsia="仿宋" w:hAnsi="仿宋" w:cs="仿宋" w:hint="eastAsia"/>
          <w:bCs/>
          <w:sz w:val="32"/>
          <w:szCs w:val="32"/>
        </w:rPr>
        <w:t>考试卡</w:t>
      </w:r>
      <w:proofErr w:type="gramEnd"/>
      <w:r>
        <w:rPr>
          <w:rFonts w:ascii="仿宋" w:eastAsia="仿宋" w:hAnsi="仿宋" w:cs="仿宋" w:hint="eastAsia"/>
          <w:bCs/>
          <w:sz w:val="32"/>
          <w:szCs w:val="32"/>
        </w:rPr>
        <w:t>圈存缴费和学生</w:t>
      </w:r>
      <w:proofErr w:type="gramStart"/>
      <w:r>
        <w:rPr>
          <w:rFonts w:ascii="仿宋" w:eastAsia="仿宋" w:hAnsi="仿宋" w:cs="仿宋" w:hint="eastAsia"/>
          <w:bCs/>
          <w:sz w:val="32"/>
          <w:szCs w:val="32"/>
        </w:rPr>
        <w:t>银联卡网上</w:t>
      </w:r>
      <w:proofErr w:type="gramEnd"/>
      <w:r>
        <w:rPr>
          <w:rFonts w:ascii="仿宋" w:eastAsia="仿宋" w:hAnsi="仿宋" w:cs="仿宋" w:hint="eastAsia"/>
          <w:bCs/>
          <w:sz w:val="32"/>
          <w:szCs w:val="32"/>
        </w:rPr>
        <w:t>缴费。第一时间段，对有</w:t>
      </w:r>
      <w:proofErr w:type="gramStart"/>
      <w:r>
        <w:rPr>
          <w:rFonts w:ascii="仿宋" w:eastAsia="仿宋" w:hAnsi="仿宋" w:cs="仿宋" w:hint="eastAsia"/>
          <w:bCs/>
          <w:sz w:val="32"/>
          <w:szCs w:val="32"/>
        </w:rPr>
        <w:t>考试卡</w:t>
      </w:r>
      <w:proofErr w:type="gramEnd"/>
      <w:r>
        <w:rPr>
          <w:rFonts w:ascii="仿宋" w:eastAsia="仿宋" w:hAnsi="仿宋" w:cs="仿宋" w:hint="eastAsia"/>
          <w:bCs/>
          <w:sz w:val="32"/>
          <w:szCs w:val="32"/>
        </w:rPr>
        <w:t>的学生将进行圈存缴费，如学生没有</w:t>
      </w:r>
      <w:proofErr w:type="gramStart"/>
      <w:r>
        <w:rPr>
          <w:rFonts w:ascii="仿宋" w:eastAsia="仿宋" w:hAnsi="仿宋" w:cs="仿宋" w:hint="eastAsia"/>
          <w:bCs/>
          <w:sz w:val="32"/>
          <w:szCs w:val="32"/>
        </w:rPr>
        <w:t>考试卡</w:t>
      </w:r>
      <w:proofErr w:type="gramEnd"/>
      <w:r>
        <w:rPr>
          <w:rFonts w:ascii="仿宋" w:eastAsia="仿宋" w:hAnsi="仿宋" w:cs="仿宋" w:hint="eastAsia"/>
          <w:bCs/>
          <w:sz w:val="32"/>
          <w:szCs w:val="32"/>
        </w:rPr>
        <w:t>或余额不足，可在第二时间段使用</w:t>
      </w:r>
      <w:proofErr w:type="gramStart"/>
      <w:r>
        <w:rPr>
          <w:rFonts w:ascii="仿宋" w:eastAsia="仿宋" w:hAnsi="仿宋" w:cs="仿宋" w:hint="eastAsia"/>
          <w:bCs/>
          <w:sz w:val="32"/>
          <w:szCs w:val="32"/>
        </w:rPr>
        <w:t>银联卡网上</w:t>
      </w:r>
      <w:proofErr w:type="gramEnd"/>
      <w:r>
        <w:rPr>
          <w:rFonts w:ascii="仿宋" w:eastAsia="仿宋" w:hAnsi="仿宋" w:cs="仿宋" w:hint="eastAsia"/>
          <w:bCs/>
          <w:sz w:val="32"/>
          <w:szCs w:val="32"/>
        </w:rPr>
        <w:t>自主缴费。两种缴费模式都不收取学生手续费。学生报考状态及缴费情况查询操作如下：</w:t>
      </w:r>
    </w:p>
    <w:p w:rsidR="00C93C47" w:rsidRDefault="00C93C47" w:rsidP="00C93C47">
      <w:pPr>
        <w:numPr>
          <w:ilvl w:val="0"/>
          <w:numId w:val="3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考生登录南昌市教育考试网站（网址：www.nceea.cn）,进入“南昌市教育考试院主页-南昌市普通高中学业水平考试管理系统”，如图所示。</w:t>
      </w:r>
    </w:p>
    <w:p w:rsidR="00C93C47" w:rsidRDefault="00C93C47" w:rsidP="00C93C47">
      <w:pPr>
        <w:ind w:left="400"/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  <w:bdr w:val="single" w:sz="4" w:space="0" w:color="auto"/>
        </w:rPr>
        <w:lastRenderedPageBreak/>
        <w:drawing>
          <wp:inline distT="0" distB="0" distL="0" distR="0">
            <wp:extent cx="5000625" cy="4400550"/>
            <wp:effectExtent l="19050" t="0" r="9525" b="0"/>
            <wp:docPr id="5" name="图片 33" descr="2JSM4[Z~U_XA%J7KGE`[5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3" descr="2JSM4[Z~U_XA%J7KGE`[5B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C47" w:rsidRDefault="00C93C47" w:rsidP="00C93C47">
      <w:pPr>
        <w:numPr>
          <w:ilvl w:val="0"/>
          <w:numId w:val="3"/>
        </w:num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输入考生信息后，点击“查询”可查询到考生本次报考科目及缴费状态，如没有缴费可进行银联在线支付，如下图：</w:t>
      </w:r>
    </w:p>
    <w:p w:rsidR="00C93C47" w:rsidRDefault="00C93C47" w:rsidP="00C93C47">
      <w:pPr>
        <w:ind w:left="420" w:firstLine="420"/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  <w:bdr w:val="single" w:sz="4" w:space="0" w:color="auto"/>
        </w:rPr>
        <w:lastRenderedPageBreak/>
        <w:drawing>
          <wp:inline distT="0" distB="0" distL="0" distR="0">
            <wp:extent cx="4610100" cy="3371850"/>
            <wp:effectExtent l="19050" t="0" r="0" b="0"/>
            <wp:docPr id="6" name="图片 34" descr="()L8F}7$J}MCTNEN2E]M(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4" descr="()L8F}7$J}MCTNEN2E]M(4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C47" w:rsidRDefault="00C93C47" w:rsidP="00C93C47">
      <w:pPr>
        <w:numPr>
          <w:ilvl w:val="0"/>
          <w:numId w:val="3"/>
        </w:numPr>
        <w:jc w:val="left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学校、县区考区可查询考生的缴费状态。</w:t>
      </w:r>
    </w:p>
    <w:p w:rsidR="00C93C47" w:rsidRDefault="00C93C47" w:rsidP="00C93C47">
      <w:pPr>
        <w:ind w:left="400" w:firstLine="420"/>
        <w:jc w:val="left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点击“考生管理”，点击“筛选”，选择缴费状态（如待缴费），点击“提取”按钮，查询未缴费的学生名单，</w:t>
      </w:r>
      <w:r>
        <w:rPr>
          <w:rFonts w:ascii="仿宋" w:eastAsia="仿宋" w:hAnsi="仿宋" w:cs="仿宋" w:hint="eastAsia"/>
          <w:sz w:val="32"/>
          <w:szCs w:val="32"/>
        </w:rPr>
        <w:t>请务必提醒考生在报名截止前进行缴费。</w:t>
      </w:r>
    </w:p>
    <w:p w:rsidR="00C93C47" w:rsidRDefault="00C93C47" w:rsidP="00C93C47">
      <w:pPr>
        <w:ind w:left="400"/>
        <w:jc w:val="left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noProof/>
          <w:bdr w:val="single" w:sz="4" w:space="0" w:color="auto"/>
        </w:rPr>
        <w:drawing>
          <wp:inline distT="0" distB="0" distL="0" distR="0">
            <wp:extent cx="4543425" cy="3505200"/>
            <wp:effectExtent l="19050" t="0" r="9525" b="0"/>
            <wp:docPr id="7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C47" w:rsidRDefault="00C93C47" w:rsidP="00C93C47">
      <w:pPr>
        <w:numPr>
          <w:ilvl w:val="0"/>
          <w:numId w:val="3"/>
        </w:numPr>
        <w:jc w:val="left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学校、县区可在“统计操作”中查询报名人数、科次及缴费的统计信息。</w:t>
      </w:r>
    </w:p>
    <w:p w:rsidR="00C93C47" w:rsidRDefault="00C93C47" w:rsidP="00C93C47">
      <w:pPr>
        <w:ind w:left="400"/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noProof/>
          <w:bdr w:val="single" w:sz="4" w:space="0" w:color="auto"/>
        </w:rPr>
        <w:drawing>
          <wp:inline distT="0" distB="0" distL="0" distR="0">
            <wp:extent cx="1428750" cy="685800"/>
            <wp:effectExtent l="19050" t="0" r="0" b="0"/>
            <wp:docPr id="8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C47" w:rsidRDefault="00C93C47" w:rsidP="00C93C47">
      <w:pPr>
        <w:jc w:val="left"/>
        <w:rPr>
          <w:rFonts w:ascii="宋体" w:hAnsi="宋体" w:hint="eastAsia"/>
          <w:sz w:val="28"/>
          <w:szCs w:val="28"/>
        </w:rPr>
      </w:pPr>
    </w:p>
    <w:p w:rsidR="009A5F73" w:rsidRDefault="009A5F73"/>
    <w:sectPr w:rsidR="009A5F73" w:rsidSect="009A5F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839A6"/>
    <w:multiLevelType w:val="singleLevel"/>
    <w:tmpl w:val="541839A6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56E12283"/>
    <w:multiLevelType w:val="singleLevel"/>
    <w:tmpl w:val="56E1228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56E122EA"/>
    <w:multiLevelType w:val="singleLevel"/>
    <w:tmpl w:val="56E122E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3C47"/>
    <w:rsid w:val="000018F3"/>
    <w:rsid w:val="00002750"/>
    <w:rsid w:val="00007419"/>
    <w:rsid w:val="00014EE6"/>
    <w:rsid w:val="00014F49"/>
    <w:rsid w:val="00030679"/>
    <w:rsid w:val="00050189"/>
    <w:rsid w:val="00053171"/>
    <w:rsid w:val="00055A46"/>
    <w:rsid w:val="00061B80"/>
    <w:rsid w:val="0006224A"/>
    <w:rsid w:val="000651A7"/>
    <w:rsid w:val="00065232"/>
    <w:rsid w:val="00076DD2"/>
    <w:rsid w:val="00082F7A"/>
    <w:rsid w:val="00086DD5"/>
    <w:rsid w:val="00090BC8"/>
    <w:rsid w:val="00091A34"/>
    <w:rsid w:val="0009327C"/>
    <w:rsid w:val="00097603"/>
    <w:rsid w:val="000B103A"/>
    <w:rsid w:val="000B5F42"/>
    <w:rsid w:val="000B7023"/>
    <w:rsid w:val="000C33BB"/>
    <w:rsid w:val="000C4C60"/>
    <w:rsid w:val="000E37C2"/>
    <w:rsid w:val="000E386F"/>
    <w:rsid w:val="001037A7"/>
    <w:rsid w:val="001054B1"/>
    <w:rsid w:val="00106AC4"/>
    <w:rsid w:val="00106EF3"/>
    <w:rsid w:val="001127B2"/>
    <w:rsid w:val="0012270B"/>
    <w:rsid w:val="00123F36"/>
    <w:rsid w:val="0013018E"/>
    <w:rsid w:val="001416DB"/>
    <w:rsid w:val="00144775"/>
    <w:rsid w:val="001447FC"/>
    <w:rsid w:val="00145004"/>
    <w:rsid w:val="001521E4"/>
    <w:rsid w:val="001609F6"/>
    <w:rsid w:val="0016151B"/>
    <w:rsid w:val="00162682"/>
    <w:rsid w:val="0016292B"/>
    <w:rsid w:val="00165266"/>
    <w:rsid w:val="00171478"/>
    <w:rsid w:val="00174F41"/>
    <w:rsid w:val="00193026"/>
    <w:rsid w:val="001C1055"/>
    <w:rsid w:val="001C145E"/>
    <w:rsid w:val="001C2F93"/>
    <w:rsid w:val="001D0915"/>
    <w:rsid w:val="001D3CF6"/>
    <w:rsid w:val="001D7136"/>
    <w:rsid w:val="001E0762"/>
    <w:rsid w:val="001E2FFE"/>
    <w:rsid w:val="001F2C85"/>
    <w:rsid w:val="001F792D"/>
    <w:rsid w:val="002033ED"/>
    <w:rsid w:val="002063FB"/>
    <w:rsid w:val="002137C1"/>
    <w:rsid w:val="00213E2A"/>
    <w:rsid w:val="0021434B"/>
    <w:rsid w:val="002157B0"/>
    <w:rsid w:val="002166C0"/>
    <w:rsid w:val="0022128F"/>
    <w:rsid w:val="00227C2F"/>
    <w:rsid w:val="00252DA8"/>
    <w:rsid w:val="002530AA"/>
    <w:rsid w:val="002551C6"/>
    <w:rsid w:val="00265050"/>
    <w:rsid w:val="00271A07"/>
    <w:rsid w:val="00271F6B"/>
    <w:rsid w:val="0027485E"/>
    <w:rsid w:val="00276226"/>
    <w:rsid w:val="00277E60"/>
    <w:rsid w:val="002806E4"/>
    <w:rsid w:val="002847AB"/>
    <w:rsid w:val="0029171A"/>
    <w:rsid w:val="002975F0"/>
    <w:rsid w:val="002A3CB0"/>
    <w:rsid w:val="002A44DE"/>
    <w:rsid w:val="002A52D6"/>
    <w:rsid w:val="002A5742"/>
    <w:rsid w:val="002B017B"/>
    <w:rsid w:val="002B5085"/>
    <w:rsid w:val="002B5AB3"/>
    <w:rsid w:val="002C7844"/>
    <w:rsid w:val="002D1095"/>
    <w:rsid w:val="002E7A47"/>
    <w:rsid w:val="00301138"/>
    <w:rsid w:val="0030561F"/>
    <w:rsid w:val="003119BC"/>
    <w:rsid w:val="00311B38"/>
    <w:rsid w:val="003120B7"/>
    <w:rsid w:val="00314BAF"/>
    <w:rsid w:val="003153F9"/>
    <w:rsid w:val="003216F0"/>
    <w:rsid w:val="00332717"/>
    <w:rsid w:val="00337497"/>
    <w:rsid w:val="00340FDF"/>
    <w:rsid w:val="00343C33"/>
    <w:rsid w:val="00343E31"/>
    <w:rsid w:val="00347BC7"/>
    <w:rsid w:val="0035541E"/>
    <w:rsid w:val="00356173"/>
    <w:rsid w:val="00373B0B"/>
    <w:rsid w:val="00382C7F"/>
    <w:rsid w:val="003907EA"/>
    <w:rsid w:val="00394945"/>
    <w:rsid w:val="003A4C5A"/>
    <w:rsid w:val="003B3BAE"/>
    <w:rsid w:val="003B6703"/>
    <w:rsid w:val="003C35E5"/>
    <w:rsid w:val="003C3A70"/>
    <w:rsid w:val="003C7987"/>
    <w:rsid w:val="003D2969"/>
    <w:rsid w:val="003D469C"/>
    <w:rsid w:val="003D6B71"/>
    <w:rsid w:val="003E257D"/>
    <w:rsid w:val="003F240C"/>
    <w:rsid w:val="003F3730"/>
    <w:rsid w:val="003F4D05"/>
    <w:rsid w:val="004011FE"/>
    <w:rsid w:val="004020F4"/>
    <w:rsid w:val="0040362C"/>
    <w:rsid w:val="0040739A"/>
    <w:rsid w:val="00407705"/>
    <w:rsid w:val="004117D4"/>
    <w:rsid w:val="00414A54"/>
    <w:rsid w:val="004212E1"/>
    <w:rsid w:val="00423423"/>
    <w:rsid w:val="00423E3B"/>
    <w:rsid w:val="00425DB0"/>
    <w:rsid w:val="00426086"/>
    <w:rsid w:val="00427289"/>
    <w:rsid w:val="00441AD2"/>
    <w:rsid w:val="00443636"/>
    <w:rsid w:val="00454E61"/>
    <w:rsid w:val="00464EB6"/>
    <w:rsid w:val="00477037"/>
    <w:rsid w:val="004774C5"/>
    <w:rsid w:val="00485109"/>
    <w:rsid w:val="00487016"/>
    <w:rsid w:val="00494D40"/>
    <w:rsid w:val="004B50F1"/>
    <w:rsid w:val="004C2B0A"/>
    <w:rsid w:val="004E1CF7"/>
    <w:rsid w:val="004E616A"/>
    <w:rsid w:val="004F121F"/>
    <w:rsid w:val="004F3DA3"/>
    <w:rsid w:val="0051088A"/>
    <w:rsid w:val="00517CE8"/>
    <w:rsid w:val="00517EAD"/>
    <w:rsid w:val="00521C92"/>
    <w:rsid w:val="00524EC5"/>
    <w:rsid w:val="005252F3"/>
    <w:rsid w:val="0053006B"/>
    <w:rsid w:val="00531903"/>
    <w:rsid w:val="00542973"/>
    <w:rsid w:val="005532ED"/>
    <w:rsid w:val="0055799F"/>
    <w:rsid w:val="005659F5"/>
    <w:rsid w:val="00580486"/>
    <w:rsid w:val="00581370"/>
    <w:rsid w:val="0058246C"/>
    <w:rsid w:val="00590B42"/>
    <w:rsid w:val="00592257"/>
    <w:rsid w:val="00593C4A"/>
    <w:rsid w:val="005A36B7"/>
    <w:rsid w:val="005A4824"/>
    <w:rsid w:val="005A7B24"/>
    <w:rsid w:val="005B7AF7"/>
    <w:rsid w:val="005B7CAD"/>
    <w:rsid w:val="005E1E92"/>
    <w:rsid w:val="005F5880"/>
    <w:rsid w:val="0061187E"/>
    <w:rsid w:val="00615FCB"/>
    <w:rsid w:val="00617C84"/>
    <w:rsid w:val="00622900"/>
    <w:rsid w:val="00623760"/>
    <w:rsid w:val="00637552"/>
    <w:rsid w:val="006412EF"/>
    <w:rsid w:val="00641CDC"/>
    <w:rsid w:val="00643AA7"/>
    <w:rsid w:val="0064616F"/>
    <w:rsid w:val="006470DB"/>
    <w:rsid w:val="00653366"/>
    <w:rsid w:val="006536D0"/>
    <w:rsid w:val="00655A08"/>
    <w:rsid w:val="0066151F"/>
    <w:rsid w:val="006774AC"/>
    <w:rsid w:val="0068107B"/>
    <w:rsid w:val="00683328"/>
    <w:rsid w:val="00685119"/>
    <w:rsid w:val="006A0FB6"/>
    <w:rsid w:val="006A1C2A"/>
    <w:rsid w:val="006A2065"/>
    <w:rsid w:val="006A275A"/>
    <w:rsid w:val="006B6118"/>
    <w:rsid w:val="006B61AC"/>
    <w:rsid w:val="006C4D50"/>
    <w:rsid w:val="006C54DC"/>
    <w:rsid w:val="006D1DAF"/>
    <w:rsid w:val="006D5410"/>
    <w:rsid w:val="006E6D8D"/>
    <w:rsid w:val="006F1396"/>
    <w:rsid w:val="006F1FA9"/>
    <w:rsid w:val="006F3694"/>
    <w:rsid w:val="006F7213"/>
    <w:rsid w:val="0070433D"/>
    <w:rsid w:val="00725BC8"/>
    <w:rsid w:val="00733B06"/>
    <w:rsid w:val="007372E8"/>
    <w:rsid w:val="0074014F"/>
    <w:rsid w:val="007507F8"/>
    <w:rsid w:val="007558F2"/>
    <w:rsid w:val="007559C3"/>
    <w:rsid w:val="00757E56"/>
    <w:rsid w:val="00760ACF"/>
    <w:rsid w:val="00761986"/>
    <w:rsid w:val="007625E1"/>
    <w:rsid w:val="00766BD2"/>
    <w:rsid w:val="007734E9"/>
    <w:rsid w:val="0078037B"/>
    <w:rsid w:val="00785FBE"/>
    <w:rsid w:val="00796091"/>
    <w:rsid w:val="007A6BEE"/>
    <w:rsid w:val="007B075A"/>
    <w:rsid w:val="007B0F03"/>
    <w:rsid w:val="007B1007"/>
    <w:rsid w:val="007B3AD4"/>
    <w:rsid w:val="007C028C"/>
    <w:rsid w:val="007C3ABE"/>
    <w:rsid w:val="007D3E37"/>
    <w:rsid w:val="007F53DA"/>
    <w:rsid w:val="007F64EC"/>
    <w:rsid w:val="00801689"/>
    <w:rsid w:val="00802D4C"/>
    <w:rsid w:val="00802E35"/>
    <w:rsid w:val="00804931"/>
    <w:rsid w:val="00817F57"/>
    <w:rsid w:val="008371AD"/>
    <w:rsid w:val="00837C9F"/>
    <w:rsid w:val="00847053"/>
    <w:rsid w:val="00853DE8"/>
    <w:rsid w:val="00855DCE"/>
    <w:rsid w:val="00864FA3"/>
    <w:rsid w:val="00871711"/>
    <w:rsid w:val="00872A0F"/>
    <w:rsid w:val="00876D75"/>
    <w:rsid w:val="00884EEB"/>
    <w:rsid w:val="00886315"/>
    <w:rsid w:val="00886E67"/>
    <w:rsid w:val="0089254A"/>
    <w:rsid w:val="008952C5"/>
    <w:rsid w:val="008A4008"/>
    <w:rsid w:val="008A7F0B"/>
    <w:rsid w:val="008A7FD7"/>
    <w:rsid w:val="008B42D4"/>
    <w:rsid w:val="008B4794"/>
    <w:rsid w:val="008B59E2"/>
    <w:rsid w:val="008B7B61"/>
    <w:rsid w:val="008C0D0B"/>
    <w:rsid w:val="008C4A75"/>
    <w:rsid w:val="008C5324"/>
    <w:rsid w:val="008C784C"/>
    <w:rsid w:val="008E2E4D"/>
    <w:rsid w:val="00903FE4"/>
    <w:rsid w:val="00911DBC"/>
    <w:rsid w:val="00925F45"/>
    <w:rsid w:val="0092645E"/>
    <w:rsid w:val="00927025"/>
    <w:rsid w:val="00931236"/>
    <w:rsid w:val="0093394C"/>
    <w:rsid w:val="00934D6C"/>
    <w:rsid w:val="00940092"/>
    <w:rsid w:val="00946E70"/>
    <w:rsid w:val="00947DA4"/>
    <w:rsid w:val="009525F7"/>
    <w:rsid w:val="009672A0"/>
    <w:rsid w:val="00967881"/>
    <w:rsid w:val="00982D36"/>
    <w:rsid w:val="00984F39"/>
    <w:rsid w:val="00993B2E"/>
    <w:rsid w:val="00995E87"/>
    <w:rsid w:val="00996ADE"/>
    <w:rsid w:val="009A4104"/>
    <w:rsid w:val="009A5F73"/>
    <w:rsid w:val="009B17DA"/>
    <w:rsid w:val="009B1BA5"/>
    <w:rsid w:val="009B2143"/>
    <w:rsid w:val="009B3377"/>
    <w:rsid w:val="009B47B1"/>
    <w:rsid w:val="009B50B9"/>
    <w:rsid w:val="009B67A6"/>
    <w:rsid w:val="009C160D"/>
    <w:rsid w:val="009C35D6"/>
    <w:rsid w:val="009C72F1"/>
    <w:rsid w:val="009D350D"/>
    <w:rsid w:val="009D5879"/>
    <w:rsid w:val="009D76AC"/>
    <w:rsid w:val="009D76FE"/>
    <w:rsid w:val="009E3298"/>
    <w:rsid w:val="009F2C92"/>
    <w:rsid w:val="00A0036E"/>
    <w:rsid w:val="00A06C36"/>
    <w:rsid w:val="00A32276"/>
    <w:rsid w:val="00A330FF"/>
    <w:rsid w:val="00A3507D"/>
    <w:rsid w:val="00A428A2"/>
    <w:rsid w:val="00A434F6"/>
    <w:rsid w:val="00A50387"/>
    <w:rsid w:val="00A53789"/>
    <w:rsid w:val="00A54DFE"/>
    <w:rsid w:val="00A63162"/>
    <w:rsid w:val="00A664F4"/>
    <w:rsid w:val="00A71596"/>
    <w:rsid w:val="00A71F3D"/>
    <w:rsid w:val="00A73042"/>
    <w:rsid w:val="00A73CF5"/>
    <w:rsid w:val="00A8329E"/>
    <w:rsid w:val="00A92E8C"/>
    <w:rsid w:val="00AA0175"/>
    <w:rsid w:val="00AA6B61"/>
    <w:rsid w:val="00AB4A3D"/>
    <w:rsid w:val="00AE68A9"/>
    <w:rsid w:val="00AF4625"/>
    <w:rsid w:val="00AF7013"/>
    <w:rsid w:val="00B00F78"/>
    <w:rsid w:val="00B06138"/>
    <w:rsid w:val="00B0740D"/>
    <w:rsid w:val="00B126E0"/>
    <w:rsid w:val="00B17254"/>
    <w:rsid w:val="00B3721B"/>
    <w:rsid w:val="00B37FC3"/>
    <w:rsid w:val="00B45E57"/>
    <w:rsid w:val="00B47057"/>
    <w:rsid w:val="00B5175E"/>
    <w:rsid w:val="00B5684F"/>
    <w:rsid w:val="00B57C90"/>
    <w:rsid w:val="00B70AE7"/>
    <w:rsid w:val="00B821EF"/>
    <w:rsid w:val="00B91D2F"/>
    <w:rsid w:val="00BA0691"/>
    <w:rsid w:val="00BA587E"/>
    <w:rsid w:val="00BB166B"/>
    <w:rsid w:val="00BB19A6"/>
    <w:rsid w:val="00BB1B5C"/>
    <w:rsid w:val="00BB23AD"/>
    <w:rsid w:val="00BB253B"/>
    <w:rsid w:val="00BB4978"/>
    <w:rsid w:val="00BC296E"/>
    <w:rsid w:val="00BC467D"/>
    <w:rsid w:val="00BD1592"/>
    <w:rsid w:val="00BD633C"/>
    <w:rsid w:val="00BD7CBA"/>
    <w:rsid w:val="00BE2B45"/>
    <w:rsid w:val="00BF0B1F"/>
    <w:rsid w:val="00BF0EC3"/>
    <w:rsid w:val="00BF1334"/>
    <w:rsid w:val="00BF28AB"/>
    <w:rsid w:val="00C02ED6"/>
    <w:rsid w:val="00C12510"/>
    <w:rsid w:val="00C27741"/>
    <w:rsid w:val="00C31EAA"/>
    <w:rsid w:val="00C32F47"/>
    <w:rsid w:val="00C36B71"/>
    <w:rsid w:val="00C43B2D"/>
    <w:rsid w:val="00C56E13"/>
    <w:rsid w:val="00C57462"/>
    <w:rsid w:val="00C617DF"/>
    <w:rsid w:val="00C619A7"/>
    <w:rsid w:val="00C67B73"/>
    <w:rsid w:val="00C734E7"/>
    <w:rsid w:val="00C76918"/>
    <w:rsid w:val="00C80CC0"/>
    <w:rsid w:val="00C84397"/>
    <w:rsid w:val="00C8785C"/>
    <w:rsid w:val="00C90744"/>
    <w:rsid w:val="00C93C47"/>
    <w:rsid w:val="00C94048"/>
    <w:rsid w:val="00C957CE"/>
    <w:rsid w:val="00CA0866"/>
    <w:rsid w:val="00CA1092"/>
    <w:rsid w:val="00CA29F5"/>
    <w:rsid w:val="00CA34BB"/>
    <w:rsid w:val="00CB2107"/>
    <w:rsid w:val="00CB7059"/>
    <w:rsid w:val="00CC50C1"/>
    <w:rsid w:val="00CC53C9"/>
    <w:rsid w:val="00CD58E1"/>
    <w:rsid w:val="00CD705E"/>
    <w:rsid w:val="00CD7673"/>
    <w:rsid w:val="00CE08E4"/>
    <w:rsid w:val="00CE6F03"/>
    <w:rsid w:val="00CE7330"/>
    <w:rsid w:val="00CF6DA3"/>
    <w:rsid w:val="00D002A9"/>
    <w:rsid w:val="00D00C95"/>
    <w:rsid w:val="00D04123"/>
    <w:rsid w:val="00D11118"/>
    <w:rsid w:val="00D11316"/>
    <w:rsid w:val="00D16007"/>
    <w:rsid w:val="00D23EFB"/>
    <w:rsid w:val="00D25002"/>
    <w:rsid w:val="00D25423"/>
    <w:rsid w:val="00D25BE9"/>
    <w:rsid w:val="00D330E3"/>
    <w:rsid w:val="00D34359"/>
    <w:rsid w:val="00D62F85"/>
    <w:rsid w:val="00D66246"/>
    <w:rsid w:val="00D80C54"/>
    <w:rsid w:val="00D844A7"/>
    <w:rsid w:val="00D87C84"/>
    <w:rsid w:val="00D90A98"/>
    <w:rsid w:val="00D94F17"/>
    <w:rsid w:val="00D9590A"/>
    <w:rsid w:val="00D95CE3"/>
    <w:rsid w:val="00D962D9"/>
    <w:rsid w:val="00D97EAF"/>
    <w:rsid w:val="00DA2F89"/>
    <w:rsid w:val="00DA73CC"/>
    <w:rsid w:val="00DC3B00"/>
    <w:rsid w:val="00DC6BA5"/>
    <w:rsid w:val="00DC793E"/>
    <w:rsid w:val="00DD0A8D"/>
    <w:rsid w:val="00DD333B"/>
    <w:rsid w:val="00DD6960"/>
    <w:rsid w:val="00DD6F0F"/>
    <w:rsid w:val="00DE667E"/>
    <w:rsid w:val="00DE67C1"/>
    <w:rsid w:val="00DF04F1"/>
    <w:rsid w:val="00DF30E0"/>
    <w:rsid w:val="00E12167"/>
    <w:rsid w:val="00E13581"/>
    <w:rsid w:val="00E16E06"/>
    <w:rsid w:val="00E17055"/>
    <w:rsid w:val="00E17D71"/>
    <w:rsid w:val="00E218FA"/>
    <w:rsid w:val="00E22124"/>
    <w:rsid w:val="00E222E0"/>
    <w:rsid w:val="00E22B4D"/>
    <w:rsid w:val="00E23CA3"/>
    <w:rsid w:val="00E26E99"/>
    <w:rsid w:val="00E27790"/>
    <w:rsid w:val="00E3010B"/>
    <w:rsid w:val="00E332B8"/>
    <w:rsid w:val="00E50429"/>
    <w:rsid w:val="00E55709"/>
    <w:rsid w:val="00E56AF8"/>
    <w:rsid w:val="00E57DE8"/>
    <w:rsid w:val="00E60D97"/>
    <w:rsid w:val="00E6330A"/>
    <w:rsid w:val="00E64F7C"/>
    <w:rsid w:val="00E659E7"/>
    <w:rsid w:val="00E73A4C"/>
    <w:rsid w:val="00E756B1"/>
    <w:rsid w:val="00E836BE"/>
    <w:rsid w:val="00E85FF2"/>
    <w:rsid w:val="00E94674"/>
    <w:rsid w:val="00EA2E4E"/>
    <w:rsid w:val="00EA6AA2"/>
    <w:rsid w:val="00EA6FDD"/>
    <w:rsid w:val="00EB0439"/>
    <w:rsid w:val="00EB5A81"/>
    <w:rsid w:val="00EC2E61"/>
    <w:rsid w:val="00EE0D5B"/>
    <w:rsid w:val="00EE7EE4"/>
    <w:rsid w:val="00EF4ADB"/>
    <w:rsid w:val="00EF5300"/>
    <w:rsid w:val="00EF5536"/>
    <w:rsid w:val="00EF590F"/>
    <w:rsid w:val="00EF64F9"/>
    <w:rsid w:val="00F11242"/>
    <w:rsid w:val="00F117BE"/>
    <w:rsid w:val="00F17E4C"/>
    <w:rsid w:val="00F21377"/>
    <w:rsid w:val="00F226BD"/>
    <w:rsid w:val="00F2427A"/>
    <w:rsid w:val="00F35F7B"/>
    <w:rsid w:val="00F37156"/>
    <w:rsid w:val="00F401BC"/>
    <w:rsid w:val="00F41A07"/>
    <w:rsid w:val="00F4622D"/>
    <w:rsid w:val="00F64B3F"/>
    <w:rsid w:val="00F64D2A"/>
    <w:rsid w:val="00F72828"/>
    <w:rsid w:val="00F96053"/>
    <w:rsid w:val="00FA1363"/>
    <w:rsid w:val="00FA2225"/>
    <w:rsid w:val="00FA41D5"/>
    <w:rsid w:val="00FB042E"/>
    <w:rsid w:val="00FC1EAC"/>
    <w:rsid w:val="00FD36DD"/>
    <w:rsid w:val="00FE70B1"/>
    <w:rsid w:val="00FF1ABB"/>
    <w:rsid w:val="00FF4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qFormat/>
    <w:rsid w:val="00C93C47"/>
    <w:pPr>
      <w:tabs>
        <w:tab w:val="left" w:pos="360"/>
      </w:tabs>
    </w:pPr>
    <w:rPr>
      <w:sz w:val="24"/>
    </w:rPr>
  </w:style>
  <w:style w:type="paragraph" w:customStyle="1" w:styleId="ListParagraph">
    <w:name w:val="List Paragraph"/>
    <w:basedOn w:val="a"/>
    <w:qFormat/>
    <w:rsid w:val="00C93C47"/>
    <w:pPr>
      <w:ind w:firstLineChars="200" w:firstLine="420"/>
    </w:pPr>
  </w:style>
  <w:style w:type="paragraph" w:styleId="a3">
    <w:name w:val="Balloon Text"/>
    <w:basedOn w:val="a"/>
    <w:link w:val="Char0"/>
    <w:uiPriority w:val="99"/>
    <w:semiHidden/>
    <w:unhideWhenUsed/>
    <w:rsid w:val="00C93C47"/>
    <w:rPr>
      <w:sz w:val="18"/>
      <w:szCs w:val="18"/>
    </w:rPr>
  </w:style>
  <w:style w:type="character" w:customStyle="1" w:styleId="Char0">
    <w:name w:val="批注框文本 Char"/>
    <w:basedOn w:val="a0"/>
    <w:link w:val="a3"/>
    <w:uiPriority w:val="99"/>
    <w:semiHidden/>
    <w:rsid w:val="00C93C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2017-03-20T07:04:00Z</dcterms:created>
  <dcterms:modified xsi:type="dcterms:W3CDTF">2017-03-20T07:05:00Z</dcterms:modified>
</cp:coreProperties>
</file>