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原地推铅球测试</w:t>
      </w:r>
      <w:r>
        <w:rPr>
          <w:rFonts w:hint="eastAsia" w:ascii="黑体" w:hAnsi="黑体" w:eastAsia="黑体" w:cs="黑体"/>
          <w:sz w:val="32"/>
          <w:szCs w:val="32"/>
        </w:rPr>
        <w:t>评分标准</w:t>
      </w:r>
    </w:p>
    <w:tbl>
      <w:tblPr>
        <w:tblStyle w:val="5"/>
        <w:tblpPr w:leftFromText="180" w:rightFromText="180" w:vertAnchor="text" w:horzAnchor="page" w:tblpX="1590" w:tblpY="257"/>
        <w:tblOverlap w:val="never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男子铅球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女子铅球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9.6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GungsuhChe">
    <w:altName w:val="GulimChe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27AED"/>
    <w:rsid w:val="719538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河北</cp:lastModifiedBy>
  <dcterms:modified xsi:type="dcterms:W3CDTF">2017-02-23T02:16:26Z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