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1140"/>
        </w:tabs>
        <w:spacing w:line="520" w:lineRule="exact"/>
        <w:rPr>
          <w:rFonts w:hint="eastAsia" w:ascii="黑体" w:eastAsia="黑体"/>
          <w:sz w:val="30"/>
          <w:szCs w:val="30"/>
        </w:rPr>
      </w:pPr>
      <w:r>
        <w:rPr>
          <w:rFonts w:hint="eastAsia" w:ascii="黑体" w:eastAsia="黑体"/>
          <w:sz w:val="30"/>
          <w:szCs w:val="30"/>
        </w:rPr>
        <w:t>附件2：</w:t>
      </w:r>
    </w:p>
    <w:p>
      <w:pPr>
        <w:spacing w:line="520" w:lineRule="exact"/>
        <w:jc w:val="center"/>
        <w:rPr>
          <w:rFonts w:hint="eastAsia" w:ascii="方正小标宋简体" w:eastAsia="方正小标宋简体"/>
          <w:sz w:val="38"/>
          <w:szCs w:val="38"/>
        </w:rPr>
      </w:pPr>
      <w:r>
        <w:rPr>
          <w:rFonts w:hint="eastAsia" w:ascii="方正小标宋简体" w:eastAsia="方正小标宋简体"/>
          <w:sz w:val="38"/>
          <w:szCs w:val="38"/>
        </w:rPr>
        <w:t>2016年长沙市城区普通高中招收直升生实施办法</w:t>
      </w:r>
    </w:p>
    <w:p>
      <w:pPr>
        <w:spacing w:before="156" w:beforeLines="50" w:line="460" w:lineRule="exact"/>
        <w:ind w:firstLine="600" w:firstLineChars="200"/>
        <w:rPr>
          <w:rFonts w:hint="eastAsia" w:ascii="仿宋_GB2312" w:eastAsia="仿宋_GB2312"/>
          <w:sz w:val="30"/>
          <w:szCs w:val="32"/>
        </w:rPr>
      </w:pPr>
      <w:r>
        <w:rPr>
          <w:rFonts w:hint="eastAsia" w:ascii="仿宋_GB2312" w:eastAsia="仿宋_GB2312"/>
          <w:sz w:val="30"/>
          <w:szCs w:val="32"/>
        </w:rPr>
        <w:t>为进一步</w:t>
      </w:r>
      <w:r>
        <w:rPr>
          <w:rFonts w:hint="eastAsia" w:eastAsia="仿宋_GB2312"/>
          <w:sz w:val="30"/>
        </w:rPr>
        <w:t>完善</w:t>
      </w:r>
      <w:r>
        <w:rPr>
          <w:rFonts w:hint="eastAsia" w:ascii="仿宋_GB2312" w:eastAsia="仿宋_GB2312"/>
          <w:sz w:val="30"/>
          <w:szCs w:val="32"/>
        </w:rPr>
        <w:t>我市高中招生制度改革，积极探索高中招生多元化的模式，促进优质教育资源共享，推进初中教育均衡发展，整体提高城区中学的办学水平，根据《长沙市2016年初中毕业升学考试与高中招生工作实施办法》《关于进一步开展城区中学对口支援工作的通知》精神，特制定本办法。</w:t>
      </w:r>
    </w:p>
    <w:p>
      <w:pPr>
        <w:spacing w:line="460" w:lineRule="exact"/>
        <w:ind w:firstLine="600" w:firstLineChars="200"/>
        <w:rPr>
          <w:rFonts w:hint="eastAsia" w:ascii="黑体" w:eastAsia="黑体"/>
          <w:sz w:val="30"/>
          <w:szCs w:val="30"/>
        </w:rPr>
      </w:pPr>
      <w:r>
        <w:rPr>
          <w:rFonts w:hint="eastAsia" w:ascii="黑体" w:eastAsia="黑体"/>
          <w:sz w:val="30"/>
          <w:szCs w:val="30"/>
        </w:rPr>
        <w:t>一、基本原则</w:t>
      </w:r>
    </w:p>
    <w:p>
      <w:pPr>
        <w:spacing w:line="460" w:lineRule="exact"/>
        <w:ind w:firstLine="600" w:firstLineChars="200"/>
        <w:rPr>
          <w:rFonts w:hint="eastAsia" w:ascii="仿宋_GB2312" w:eastAsia="仿宋_GB2312"/>
          <w:sz w:val="30"/>
          <w:szCs w:val="30"/>
        </w:rPr>
      </w:pPr>
      <w:r>
        <w:rPr>
          <w:rFonts w:hint="eastAsia" w:ascii="仿宋_GB2312" w:eastAsia="仿宋_GB2312"/>
          <w:sz w:val="30"/>
          <w:szCs w:val="30"/>
        </w:rPr>
        <w:t>1.坚持公开、公平、公正的原则。</w:t>
      </w:r>
    </w:p>
    <w:p>
      <w:pPr>
        <w:spacing w:line="460" w:lineRule="exact"/>
        <w:ind w:firstLine="600" w:firstLineChars="200"/>
        <w:rPr>
          <w:rFonts w:hint="eastAsia" w:ascii="仿宋_GB2312" w:eastAsia="仿宋_GB2312"/>
          <w:sz w:val="30"/>
          <w:szCs w:val="30"/>
        </w:rPr>
      </w:pPr>
      <w:r>
        <w:rPr>
          <w:rFonts w:hint="eastAsia" w:ascii="仿宋_GB2312" w:eastAsia="仿宋_GB2312"/>
          <w:sz w:val="30"/>
          <w:szCs w:val="30"/>
        </w:rPr>
        <w:t>2.坚持学生自愿的原则。</w:t>
      </w:r>
    </w:p>
    <w:p>
      <w:pPr>
        <w:spacing w:line="460" w:lineRule="exact"/>
        <w:ind w:firstLine="600" w:firstLineChars="200"/>
        <w:rPr>
          <w:rFonts w:hint="eastAsia" w:ascii="仿宋_GB2312" w:eastAsia="仿宋_GB2312"/>
          <w:sz w:val="30"/>
          <w:szCs w:val="30"/>
        </w:rPr>
      </w:pPr>
      <w:r>
        <w:rPr>
          <w:rFonts w:hint="eastAsia" w:ascii="仿宋_GB2312" w:eastAsia="仿宋_GB2312"/>
          <w:sz w:val="30"/>
          <w:szCs w:val="30"/>
        </w:rPr>
        <w:t>3.坚持德、智、体、美全面衡量，择优录取的原则。</w:t>
      </w:r>
    </w:p>
    <w:p>
      <w:pPr>
        <w:spacing w:line="460" w:lineRule="exact"/>
        <w:ind w:left="560"/>
        <w:rPr>
          <w:rFonts w:hint="eastAsia" w:ascii="黑体" w:eastAsia="黑体"/>
          <w:sz w:val="30"/>
          <w:szCs w:val="30"/>
        </w:rPr>
      </w:pPr>
      <w:r>
        <w:rPr>
          <w:rFonts w:hint="eastAsia" w:ascii="黑体" w:eastAsia="黑体"/>
          <w:sz w:val="30"/>
          <w:szCs w:val="30"/>
        </w:rPr>
        <w:t>二、直升生资格</w:t>
      </w:r>
    </w:p>
    <w:p>
      <w:pPr>
        <w:spacing w:line="460" w:lineRule="exact"/>
        <w:ind w:firstLine="600" w:firstLineChars="200"/>
        <w:rPr>
          <w:rFonts w:hint="eastAsia" w:ascii="仿宋_GB2312" w:eastAsia="仿宋_GB2312"/>
          <w:sz w:val="30"/>
          <w:szCs w:val="32"/>
        </w:rPr>
      </w:pPr>
      <w:r>
        <w:rPr>
          <w:rFonts w:hint="eastAsia" w:ascii="仿宋_GB2312" w:eastAsia="仿宋_GB2312"/>
          <w:sz w:val="30"/>
          <w:szCs w:val="32"/>
        </w:rPr>
        <w:t>1.对口直升生</w:t>
      </w:r>
    </w:p>
    <w:p>
      <w:pPr>
        <w:spacing w:line="460" w:lineRule="exact"/>
        <w:ind w:firstLine="600" w:firstLineChars="200"/>
        <w:rPr>
          <w:rFonts w:hint="eastAsia" w:ascii="仿宋_GB2312" w:eastAsia="仿宋_GB2312"/>
          <w:sz w:val="30"/>
          <w:szCs w:val="32"/>
        </w:rPr>
      </w:pPr>
      <w:r>
        <w:rPr>
          <w:rFonts w:hint="eastAsia" w:ascii="仿宋_GB2312" w:eastAsia="仿宋_GB2312"/>
          <w:sz w:val="30"/>
          <w:szCs w:val="32"/>
        </w:rPr>
        <w:t>（1）微机派位到受援学校且连续在该校就读三年的应届初中毕业生；</w:t>
      </w:r>
    </w:p>
    <w:p>
      <w:pPr>
        <w:spacing w:line="460" w:lineRule="exact"/>
        <w:ind w:firstLine="600" w:firstLineChars="200"/>
        <w:rPr>
          <w:rFonts w:hint="eastAsia" w:ascii="仿宋_GB2312" w:eastAsia="仿宋_GB2312"/>
          <w:sz w:val="30"/>
          <w:szCs w:val="32"/>
        </w:rPr>
      </w:pPr>
      <w:r>
        <w:rPr>
          <w:rFonts w:hint="eastAsia" w:ascii="仿宋_GB2312" w:eastAsia="仿宋_GB2312"/>
          <w:sz w:val="30"/>
          <w:szCs w:val="32"/>
        </w:rPr>
        <w:t>（2）在同一所委托管理学校连续就读三年的应届初中毕业生。</w:t>
      </w:r>
    </w:p>
    <w:p>
      <w:pPr>
        <w:spacing w:line="460" w:lineRule="exact"/>
        <w:ind w:firstLine="600" w:firstLineChars="200"/>
        <w:rPr>
          <w:rFonts w:hint="eastAsia" w:ascii="仿宋_GB2312" w:eastAsia="仿宋_GB2312"/>
          <w:sz w:val="30"/>
          <w:szCs w:val="32"/>
        </w:rPr>
      </w:pPr>
      <w:r>
        <w:rPr>
          <w:rFonts w:hint="eastAsia" w:ascii="仿宋_GB2312" w:eastAsia="仿宋_GB2312"/>
          <w:sz w:val="30"/>
          <w:szCs w:val="32"/>
        </w:rPr>
        <w:t>2.本校直升生</w:t>
      </w:r>
    </w:p>
    <w:p>
      <w:pPr>
        <w:spacing w:line="460" w:lineRule="exact"/>
        <w:ind w:firstLine="600" w:firstLineChars="200"/>
        <w:rPr>
          <w:rFonts w:hint="eastAsia" w:ascii="仿宋_GB2312" w:eastAsia="仿宋_GB2312"/>
          <w:sz w:val="30"/>
          <w:szCs w:val="32"/>
        </w:rPr>
      </w:pPr>
      <w:r>
        <w:rPr>
          <w:rFonts w:hint="eastAsia" w:ascii="仿宋_GB2312" w:eastAsia="仿宋_GB2312"/>
          <w:sz w:val="30"/>
          <w:szCs w:val="32"/>
        </w:rPr>
        <w:t>在普通完全中学本校初中部连续就读三年的应届初中毕业生。</w:t>
      </w:r>
    </w:p>
    <w:p>
      <w:pPr>
        <w:spacing w:line="700" w:lineRule="exact"/>
        <w:ind w:firstLine="600" w:firstLineChars="200"/>
        <w:rPr>
          <w:rFonts w:hint="eastAsia" w:ascii="黑体" w:hAnsi="黑体" w:eastAsia="黑体"/>
          <w:sz w:val="30"/>
          <w:szCs w:val="32"/>
        </w:rPr>
      </w:pPr>
      <w:r>
        <w:rPr>
          <w:rFonts w:hint="eastAsia" w:ascii="黑体" w:hAnsi="黑体" w:eastAsia="黑体"/>
          <w:sz w:val="30"/>
          <w:szCs w:val="32"/>
        </w:rPr>
        <w:t>三、指标分配</w:t>
      </w:r>
    </w:p>
    <w:p>
      <w:pPr>
        <w:spacing w:line="460" w:lineRule="exact"/>
        <w:ind w:firstLine="600" w:firstLineChars="200"/>
        <w:rPr>
          <w:rFonts w:hint="eastAsia" w:ascii="仿宋_GB2312" w:eastAsia="仿宋_GB2312"/>
          <w:sz w:val="30"/>
          <w:szCs w:val="32"/>
        </w:rPr>
      </w:pPr>
      <w:r>
        <w:rPr>
          <w:rFonts w:hint="eastAsia" w:ascii="仿宋_GB2312" w:eastAsia="仿宋_GB2312"/>
          <w:sz w:val="30"/>
          <w:szCs w:val="32"/>
        </w:rPr>
        <w:t>1.对口帮扶类学校指标。</w:t>
      </w:r>
      <w:r>
        <w:rPr>
          <w:rFonts w:hint="eastAsia" w:ascii="仿宋_GB2312" w:eastAsia="仿宋_GB2312"/>
          <w:sz w:val="30"/>
        </w:rPr>
        <w:t>市教育局中招办对开展对口帮扶的省级示范性普通高中下达对口直升生计划，</w:t>
      </w:r>
      <w:r>
        <w:rPr>
          <w:rFonts w:hint="eastAsia" w:ascii="仿宋_GB2312" w:eastAsia="仿宋_GB2312"/>
          <w:sz w:val="30"/>
          <w:szCs w:val="32"/>
        </w:rPr>
        <w:t>受援学校的对口直升生指标数为微机派位且连续在该校就读三年的应届初中毕业生人数的10％。</w:t>
      </w:r>
    </w:p>
    <w:p>
      <w:pPr>
        <w:spacing w:line="460" w:lineRule="exact"/>
        <w:ind w:firstLine="600" w:firstLineChars="200"/>
        <w:rPr>
          <w:rFonts w:hint="eastAsia" w:ascii="仿宋_GB2312" w:eastAsia="仿宋_GB2312"/>
          <w:sz w:val="30"/>
          <w:szCs w:val="32"/>
        </w:rPr>
      </w:pPr>
      <w:r>
        <w:rPr>
          <w:rFonts w:hint="eastAsia" w:ascii="仿宋_GB2312" w:eastAsia="仿宋_GB2312"/>
          <w:sz w:val="30"/>
          <w:szCs w:val="32"/>
        </w:rPr>
        <w:t>2.委托管理类学校指标。在被托管学校连续就读三年的应届初中毕业生按3%—5%对口直升托管的省级示范性普通高中。委托管理满6年的学校逐步减少对口直升生指标，第7年下降到</w:t>
      </w:r>
      <w:r>
        <w:rPr>
          <w:rFonts w:ascii="仿宋_GB2312" w:eastAsia="仿宋_GB2312"/>
          <w:sz w:val="30"/>
          <w:szCs w:val="32"/>
        </w:rPr>
        <w:t>4%</w:t>
      </w:r>
      <w:r>
        <w:rPr>
          <w:rFonts w:hint="eastAsia" w:ascii="仿宋_GB2312" w:eastAsia="仿宋_GB2312"/>
          <w:sz w:val="30"/>
          <w:szCs w:val="32"/>
        </w:rPr>
        <w:t>，第8年下降到</w:t>
      </w:r>
      <w:r>
        <w:rPr>
          <w:rFonts w:ascii="仿宋_GB2312" w:eastAsia="仿宋_GB2312"/>
          <w:sz w:val="30"/>
          <w:szCs w:val="32"/>
        </w:rPr>
        <w:t>3</w:t>
      </w:r>
      <w:r>
        <w:rPr>
          <w:rFonts w:hint="eastAsia" w:ascii="仿宋_GB2312" w:eastAsia="仿宋_GB2312"/>
          <w:sz w:val="30"/>
          <w:szCs w:val="32"/>
        </w:rPr>
        <w:t>％。</w:t>
      </w:r>
    </w:p>
    <w:p>
      <w:pPr>
        <w:spacing w:line="460" w:lineRule="exact"/>
        <w:ind w:firstLine="600" w:firstLineChars="200"/>
        <w:rPr>
          <w:rFonts w:hint="eastAsia" w:ascii="仿宋_GB2312" w:eastAsia="仿宋_GB2312"/>
          <w:sz w:val="30"/>
          <w:szCs w:val="32"/>
        </w:rPr>
      </w:pPr>
      <w:r>
        <w:rPr>
          <w:rFonts w:hint="eastAsia" w:ascii="仿宋_GB2312" w:eastAsia="仿宋_GB2312"/>
          <w:sz w:val="30"/>
          <w:szCs w:val="32"/>
        </w:rPr>
        <w:t>3.完全中学初中部直升指标。直升完全中学高中部的指标数控制在本校初中部连续就读三年应届初中毕业生人数的5%以内。</w:t>
      </w:r>
    </w:p>
    <w:p>
      <w:pPr>
        <w:spacing w:line="460" w:lineRule="exact"/>
        <w:ind w:firstLine="750" w:firstLineChars="250"/>
        <w:rPr>
          <w:rFonts w:hint="eastAsia" w:ascii="黑体" w:eastAsia="黑体"/>
          <w:sz w:val="30"/>
        </w:rPr>
      </w:pPr>
      <w:r>
        <w:rPr>
          <w:rFonts w:hint="eastAsia" w:ascii="黑体" w:eastAsia="黑体"/>
          <w:sz w:val="30"/>
        </w:rPr>
        <w:t>四、推荐录取程序</w:t>
      </w:r>
    </w:p>
    <w:p>
      <w:pPr>
        <w:spacing w:line="460" w:lineRule="exact"/>
        <w:ind w:firstLine="602" w:firstLineChars="200"/>
        <w:rPr>
          <w:rFonts w:hint="eastAsia" w:ascii="楷体_GB2312" w:eastAsia="楷体_GB2312"/>
          <w:b/>
          <w:bCs/>
          <w:sz w:val="30"/>
          <w:szCs w:val="32"/>
        </w:rPr>
      </w:pPr>
      <w:r>
        <w:rPr>
          <w:rFonts w:hint="eastAsia" w:ascii="楷体_GB2312" w:eastAsia="楷体_GB2312"/>
          <w:b/>
          <w:bCs/>
          <w:sz w:val="30"/>
          <w:szCs w:val="32"/>
        </w:rPr>
        <w:t>（一）计划下达</w:t>
      </w:r>
    </w:p>
    <w:p>
      <w:pPr>
        <w:spacing w:line="460" w:lineRule="exact"/>
        <w:ind w:firstLine="600" w:firstLineChars="200"/>
        <w:rPr>
          <w:rFonts w:hint="eastAsia" w:ascii="仿宋_GB2312" w:eastAsia="仿宋_GB2312"/>
          <w:sz w:val="30"/>
          <w:szCs w:val="32"/>
        </w:rPr>
      </w:pPr>
      <w:r>
        <w:rPr>
          <w:rFonts w:hint="eastAsia" w:ascii="仿宋_GB2312" w:eastAsia="仿宋_GB2312"/>
          <w:sz w:val="30"/>
          <w:szCs w:val="32"/>
        </w:rPr>
        <w:t>市教育局中招办根据受援初级中学、委托管理学校和完全中学初中部符合资格的毕业生人数，按照对应直升类型下达其直升生招生计划。</w:t>
      </w:r>
    </w:p>
    <w:p>
      <w:pPr>
        <w:spacing w:line="460" w:lineRule="exact"/>
        <w:ind w:firstLine="602" w:firstLineChars="200"/>
        <w:rPr>
          <w:rFonts w:hint="eastAsia" w:ascii="楷体_GB2312" w:eastAsia="楷体_GB2312"/>
          <w:b/>
          <w:bCs/>
          <w:sz w:val="30"/>
          <w:szCs w:val="32"/>
        </w:rPr>
      </w:pPr>
      <w:r>
        <w:rPr>
          <w:rFonts w:hint="eastAsia" w:ascii="楷体_GB2312" w:eastAsia="楷体_GB2312"/>
          <w:b/>
          <w:bCs/>
          <w:sz w:val="30"/>
          <w:szCs w:val="32"/>
        </w:rPr>
        <w:t>（二）宣传发动</w:t>
      </w:r>
    </w:p>
    <w:p>
      <w:pPr>
        <w:spacing w:line="460" w:lineRule="exact"/>
        <w:ind w:firstLine="600" w:firstLineChars="200"/>
        <w:rPr>
          <w:rFonts w:hint="eastAsia" w:ascii="仿宋_GB2312" w:eastAsia="仿宋_GB2312"/>
          <w:sz w:val="30"/>
          <w:szCs w:val="32"/>
        </w:rPr>
      </w:pPr>
      <w:r>
        <w:rPr>
          <w:rFonts w:hint="eastAsia" w:ascii="仿宋_GB2312" w:eastAsia="仿宋_GB2312"/>
          <w:sz w:val="30"/>
          <w:szCs w:val="32"/>
        </w:rPr>
        <w:t>具有直升资格的初中学校于4月底召开毕业生及家长大会，宣讲直升生招生录取实施办法，公布本校的直升生指标数。</w:t>
      </w:r>
    </w:p>
    <w:p>
      <w:pPr>
        <w:spacing w:line="460" w:lineRule="exact"/>
        <w:ind w:firstLine="602" w:firstLineChars="200"/>
        <w:rPr>
          <w:rFonts w:hint="eastAsia" w:ascii="楷体_GB2312" w:eastAsia="楷体_GB2312"/>
          <w:b/>
          <w:bCs/>
          <w:sz w:val="30"/>
          <w:szCs w:val="32"/>
        </w:rPr>
      </w:pPr>
      <w:r>
        <w:rPr>
          <w:rFonts w:hint="eastAsia" w:ascii="楷体_GB2312" w:eastAsia="楷体_GB2312"/>
          <w:b/>
          <w:bCs/>
          <w:sz w:val="30"/>
          <w:szCs w:val="32"/>
        </w:rPr>
        <w:t>（三）综合测评</w:t>
      </w:r>
    </w:p>
    <w:p>
      <w:pPr>
        <w:spacing w:line="460" w:lineRule="exact"/>
        <w:ind w:firstLine="600" w:firstLineChars="200"/>
        <w:rPr>
          <w:rFonts w:hint="eastAsia" w:ascii="仿宋_GB2312" w:eastAsia="仿宋_GB2312"/>
          <w:sz w:val="30"/>
          <w:szCs w:val="32"/>
        </w:rPr>
      </w:pPr>
      <w:r>
        <w:rPr>
          <w:rFonts w:hint="eastAsia" w:ascii="仿宋_GB2312" w:eastAsia="仿宋_GB2312"/>
          <w:sz w:val="30"/>
          <w:szCs w:val="32"/>
        </w:rPr>
        <w:t>各校根据初中毕业生三年在德、智、体、美等方面综合测评的结果，确定直升生拟定名单。</w:t>
      </w:r>
    </w:p>
    <w:p>
      <w:pPr>
        <w:spacing w:line="460" w:lineRule="exact"/>
        <w:ind w:firstLine="602" w:firstLineChars="200"/>
        <w:rPr>
          <w:rFonts w:hint="eastAsia" w:ascii="楷体_GB2312" w:eastAsia="楷体_GB2312"/>
          <w:b/>
          <w:bCs/>
          <w:sz w:val="30"/>
          <w:szCs w:val="32"/>
        </w:rPr>
      </w:pPr>
      <w:r>
        <w:rPr>
          <w:rFonts w:hint="eastAsia" w:ascii="楷体_GB2312" w:eastAsia="楷体_GB2312"/>
          <w:b/>
          <w:bCs/>
          <w:sz w:val="30"/>
          <w:szCs w:val="32"/>
        </w:rPr>
        <w:t>（四）张榜公示</w:t>
      </w:r>
    </w:p>
    <w:p>
      <w:pPr>
        <w:spacing w:line="460" w:lineRule="exact"/>
        <w:ind w:firstLine="584" w:firstLineChars="200"/>
        <w:rPr>
          <w:rFonts w:hint="eastAsia" w:ascii="仿宋_GB2312" w:eastAsia="仿宋_GB2312"/>
          <w:sz w:val="30"/>
          <w:szCs w:val="32"/>
        </w:rPr>
      </w:pPr>
      <w:r>
        <w:rPr>
          <w:rFonts w:hint="eastAsia" w:ascii="仿宋_GB2312" w:eastAsia="仿宋_GB2312"/>
          <w:spacing w:val="-4"/>
          <w:sz w:val="30"/>
          <w:szCs w:val="30"/>
        </w:rPr>
        <w:t>各校</w:t>
      </w:r>
      <w:r>
        <w:rPr>
          <w:rFonts w:hint="eastAsia" w:ascii="仿宋_GB2312" w:eastAsia="仿宋_GB2312"/>
          <w:sz w:val="30"/>
          <w:szCs w:val="32"/>
        </w:rPr>
        <w:t>于5月3日—5月5日三天在校内公示直升生拟定名单。</w:t>
      </w:r>
    </w:p>
    <w:p>
      <w:pPr>
        <w:spacing w:line="460" w:lineRule="exact"/>
        <w:ind w:firstLine="602" w:firstLineChars="200"/>
        <w:rPr>
          <w:rFonts w:hint="eastAsia" w:ascii="楷体_GB2312" w:eastAsia="楷体_GB2312"/>
          <w:b/>
          <w:bCs/>
          <w:sz w:val="30"/>
          <w:szCs w:val="32"/>
        </w:rPr>
      </w:pPr>
      <w:r>
        <w:rPr>
          <w:rFonts w:hint="eastAsia" w:ascii="楷体_GB2312" w:eastAsia="楷体_GB2312"/>
          <w:b/>
          <w:bCs/>
          <w:sz w:val="30"/>
          <w:szCs w:val="32"/>
        </w:rPr>
        <w:t>（五）志愿填报</w:t>
      </w:r>
    </w:p>
    <w:p>
      <w:pPr>
        <w:spacing w:line="460" w:lineRule="exact"/>
        <w:ind w:firstLine="600" w:firstLineChars="200"/>
        <w:rPr>
          <w:rFonts w:hint="eastAsia" w:ascii="仿宋_GB2312" w:eastAsia="仿宋_GB2312"/>
          <w:sz w:val="30"/>
          <w:szCs w:val="32"/>
        </w:rPr>
      </w:pPr>
      <w:r>
        <w:rPr>
          <w:rFonts w:hint="eastAsia" w:ascii="仿宋_GB2312" w:eastAsia="仿宋_GB2312"/>
          <w:sz w:val="30"/>
          <w:szCs w:val="32"/>
        </w:rPr>
        <w:t>公示无异议后，学校于5月6日下发《长沙市2016年直升生资格审查表》（以下简称《资格审查表》）,学生及家长于5月7日—8日填写《资格审查表》,5月9日上午10点前上交学校。</w:t>
      </w:r>
    </w:p>
    <w:p>
      <w:pPr>
        <w:spacing w:line="460" w:lineRule="exact"/>
        <w:ind w:firstLine="602" w:firstLineChars="200"/>
        <w:rPr>
          <w:rFonts w:hint="eastAsia" w:ascii="楷体_GB2312" w:eastAsia="楷体_GB2312"/>
          <w:b/>
          <w:bCs/>
          <w:sz w:val="30"/>
          <w:szCs w:val="32"/>
        </w:rPr>
      </w:pPr>
      <w:r>
        <w:rPr>
          <w:rFonts w:hint="eastAsia" w:ascii="楷体_GB2312" w:eastAsia="楷体_GB2312"/>
          <w:b/>
          <w:bCs/>
          <w:sz w:val="30"/>
          <w:szCs w:val="32"/>
        </w:rPr>
        <w:t>（六）汇总上报</w:t>
      </w:r>
    </w:p>
    <w:p>
      <w:pPr>
        <w:spacing w:line="460" w:lineRule="exact"/>
        <w:ind w:firstLine="600" w:firstLineChars="200"/>
        <w:rPr>
          <w:rFonts w:hint="eastAsia" w:ascii="仿宋_GB2312" w:eastAsia="仿宋_GB2312"/>
          <w:sz w:val="30"/>
          <w:szCs w:val="32"/>
        </w:rPr>
      </w:pPr>
      <w:r>
        <w:rPr>
          <w:rFonts w:hint="eastAsia" w:ascii="仿宋_GB2312" w:eastAsia="仿宋_GB2312"/>
          <w:sz w:val="30"/>
          <w:szCs w:val="32"/>
        </w:rPr>
        <w:t>各校于5月9日下午5：30前将《2016年长沙市城区直升生汇总名单》（含纸质和电子表格）和《资格审查表》报市教育局中招办。逾期不报者，视为自动放弃。</w:t>
      </w:r>
    </w:p>
    <w:p>
      <w:pPr>
        <w:spacing w:line="460" w:lineRule="exact"/>
        <w:ind w:firstLine="602" w:firstLineChars="200"/>
        <w:rPr>
          <w:rFonts w:hint="eastAsia" w:ascii="楷体_GB2312" w:eastAsia="楷体_GB2312"/>
          <w:b/>
          <w:bCs/>
          <w:sz w:val="30"/>
          <w:szCs w:val="32"/>
        </w:rPr>
      </w:pPr>
      <w:r>
        <w:rPr>
          <w:rFonts w:hint="eastAsia" w:ascii="楷体_GB2312" w:eastAsia="楷体_GB2312"/>
          <w:b/>
          <w:bCs/>
          <w:sz w:val="30"/>
          <w:szCs w:val="32"/>
        </w:rPr>
        <w:t>（七）网上公示</w:t>
      </w:r>
    </w:p>
    <w:p>
      <w:pPr>
        <w:spacing w:line="460" w:lineRule="exact"/>
        <w:ind w:firstLine="600" w:firstLineChars="200"/>
        <w:rPr>
          <w:rFonts w:hint="eastAsia" w:ascii="仿宋_GB2312" w:eastAsia="仿宋_GB2312"/>
          <w:sz w:val="30"/>
          <w:szCs w:val="32"/>
        </w:rPr>
      </w:pPr>
      <w:r>
        <w:rPr>
          <w:rFonts w:hint="eastAsia" w:ascii="仿宋_GB2312" w:eastAsia="仿宋_GB2312"/>
          <w:sz w:val="30"/>
          <w:szCs w:val="32"/>
        </w:rPr>
        <w:t>5月18日—5月20日市教育局中招办将直升生录取名单在</w:t>
      </w:r>
      <w:r>
        <w:rPr>
          <w:rFonts w:hint="eastAsia" w:ascii="仿宋_GB2312" w:eastAsia="仿宋_GB2312"/>
          <w:kern w:val="0"/>
          <w:sz w:val="30"/>
          <w:szCs w:val="30"/>
        </w:rPr>
        <w:t>长沙市招生与考试信息专网（</w:t>
      </w:r>
      <w:r>
        <w:rPr>
          <w:rFonts w:ascii="仿宋_GB2312" w:eastAsia="仿宋_GB2312"/>
          <w:kern w:val="0"/>
          <w:sz w:val="30"/>
          <w:szCs w:val="30"/>
        </w:rPr>
        <w:t>http://www.csedu.gov.cn/zz/</w:t>
      </w:r>
      <w:r>
        <w:rPr>
          <w:rFonts w:hint="eastAsia" w:ascii="仿宋_GB2312" w:eastAsia="仿宋_GB2312"/>
          <w:kern w:val="0"/>
          <w:sz w:val="30"/>
          <w:szCs w:val="30"/>
        </w:rPr>
        <w:t>）</w:t>
      </w:r>
      <w:r>
        <w:rPr>
          <w:rFonts w:hint="eastAsia" w:eastAsia="仿宋_GB2312"/>
          <w:sz w:val="30"/>
        </w:rPr>
        <w:t>上公示</w:t>
      </w:r>
      <w:r>
        <w:rPr>
          <w:rFonts w:hint="eastAsia" w:ascii="仿宋_GB2312" w:eastAsia="仿宋_GB2312"/>
          <w:sz w:val="30"/>
          <w:szCs w:val="32"/>
        </w:rPr>
        <w:t>。公示无异议后，5月24日市教育局中招办发放直升生录取名册。已被录取的直升生不再参加全市统一组织的书面考试，不能参与其他高中学校的录取。</w:t>
      </w:r>
    </w:p>
    <w:p>
      <w:pPr>
        <w:spacing w:line="460" w:lineRule="exact"/>
        <w:ind w:firstLine="600" w:firstLineChars="200"/>
        <w:rPr>
          <w:rFonts w:hint="eastAsia" w:ascii="黑体" w:eastAsia="黑体"/>
          <w:sz w:val="30"/>
        </w:rPr>
      </w:pPr>
      <w:r>
        <w:rPr>
          <w:rFonts w:hint="eastAsia" w:ascii="黑体" w:eastAsia="黑体"/>
          <w:sz w:val="30"/>
        </w:rPr>
        <w:t>五、工作要求</w:t>
      </w:r>
    </w:p>
    <w:p>
      <w:pPr>
        <w:tabs>
          <w:tab w:val="left" w:pos="1140"/>
        </w:tabs>
        <w:spacing w:line="460" w:lineRule="exact"/>
        <w:ind w:firstLine="600" w:firstLineChars="200"/>
        <w:rPr>
          <w:rFonts w:hint="eastAsia" w:ascii="仿宋_GB2312" w:eastAsia="仿宋_GB2312"/>
          <w:sz w:val="30"/>
        </w:rPr>
      </w:pPr>
      <w:r>
        <w:rPr>
          <w:rFonts w:hint="eastAsia" w:ascii="仿宋_GB2312" w:eastAsia="仿宋_GB2312"/>
          <w:sz w:val="30"/>
        </w:rPr>
        <w:t>1．直升生的推荐录取工作是我市中招改革制度的一项重要举措，牵涉面广、政策性强，社会特别关注，各学校应成立招生工作委员会，明确分工，责任到人，保证各项工作各个环节按时间、按要求完成。</w:t>
      </w:r>
    </w:p>
    <w:p>
      <w:pPr>
        <w:tabs>
          <w:tab w:val="left" w:pos="1140"/>
        </w:tabs>
        <w:spacing w:line="460" w:lineRule="exact"/>
        <w:ind w:firstLine="600" w:firstLineChars="200"/>
        <w:rPr>
          <w:rFonts w:hint="eastAsia" w:ascii="仿宋_GB2312" w:eastAsia="仿宋_GB2312"/>
          <w:sz w:val="30"/>
        </w:rPr>
      </w:pPr>
      <w:r>
        <w:rPr>
          <w:rFonts w:hint="eastAsia" w:ascii="仿宋_GB2312" w:eastAsia="仿宋_GB2312"/>
          <w:sz w:val="30"/>
        </w:rPr>
        <w:t>2．各学校应在规定的时间内，根据市教育局中招办下达的直升生计划，在校内进行直升生的宣传发动和推荐录取工作。</w:t>
      </w:r>
      <w:r>
        <w:rPr>
          <w:rFonts w:hint="eastAsia" w:ascii="仿宋_GB2312" w:eastAsia="仿宋_GB2312"/>
          <w:spacing w:val="4"/>
          <w:sz w:val="30"/>
          <w:szCs w:val="30"/>
        </w:rPr>
        <w:t>特别是民办和子弟完全中学，除向学生和家长宣传本校直升生政策外，还需让其知晓高中阶段的收费政策。</w:t>
      </w:r>
    </w:p>
    <w:p>
      <w:pPr>
        <w:tabs>
          <w:tab w:val="left" w:pos="1140"/>
        </w:tabs>
        <w:spacing w:line="460" w:lineRule="exact"/>
        <w:ind w:firstLine="600" w:firstLineChars="200"/>
        <w:rPr>
          <w:rFonts w:hint="eastAsia" w:ascii="仿宋_GB2312" w:eastAsia="仿宋_GB2312"/>
          <w:sz w:val="30"/>
          <w:szCs w:val="32"/>
        </w:rPr>
      </w:pPr>
      <w:r>
        <w:rPr>
          <w:rFonts w:hint="eastAsia" w:ascii="仿宋_GB2312" w:eastAsia="仿宋_GB2312"/>
          <w:sz w:val="30"/>
        </w:rPr>
        <w:t>3．直升生的录取工作只能以</w:t>
      </w:r>
      <w:r>
        <w:rPr>
          <w:rFonts w:hint="eastAsia" w:ascii="仿宋_GB2312" w:eastAsia="仿宋_GB2312"/>
          <w:sz w:val="30"/>
          <w:szCs w:val="32"/>
        </w:rPr>
        <w:t>初中毕业生三年在德、智、体、美等方面综合测评的结果为依据，不得在初中学校（或完全中学初中部）另行举行直升生招生考试。</w:t>
      </w:r>
    </w:p>
    <w:p>
      <w:pPr>
        <w:tabs>
          <w:tab w:val="left" w:pos="1140"/>
        </w:tabs>
        <w:spacing w:line="460" w:lineRule="exact"/>
        <w:ind w:firstLine="616" w:firstLineChars="200"/>
        <w:rPr>
          <w:rFonts w:hint="eastAsia" w:ascii="仿宋_GB2312" w:eastAsia="仿宋_GB2312"/>
          <w:spacing w:val="4"/>
          <w:sz w:val="30"/>
          <w:szCs w:val="30"/>
        </w:rPr>
      </w:pPr>
      <w:r>
        <w:rPr>
          <w:rFonts w:hint="eastAsia" w:ascii="仿宋_GB2312" w:eastAsia="仿宋_GB2312"/>
          <w:spacing w:val="4"/>
          <w:sz w:val="30"/>
          <w:szCs w:val="30"/>
        </w:rPr>
        <w:t>4．各学校应充分尊重学生意愿，不得强迫或变相强迫学生直升或放弃直升。凡违反政策，以承诺优惠等方式跟学生或家长签订的任何协议无效。</w:t>
      </w:r>
    </w:p>
    <w:p>
      <w:pPr>
        <w:tabs>
          <w:tab w:val="left" w:pos="1140"/>
        </w:tabs>
        <w:spacing w:line="460" w:lineRule="exact"/>
        <w:ind w:firstLine="600" w:firstLineChars="200"/>
        <w:rPr>
          <w:rFonts w:hint="eastAsia" w:ascii="仿宋_GB2312" w:eastAsia="仿宋_GB2312"/>
          <w:sz w:val="30"/>
        </w:rPr>
      </w:pPr>
      <w:r>
        <w:rPr>
          <w:rFonts w:hint="eastAsia" w:ascii="仿宋_GB2312" w:eastAsia="仿宋_GB2312"/>
          <w:sz w:val="30"/>
        </w:rPr>
        <w:t>5．学生和家长按规定填写《资格审查表》上交学校确定直升后，不得再作更改。</w:t>
      </w:r>
    </w:p>
    <w:p>
      <w:pPr>
        <w:tabs>
          <w:tab w:val="left" w:pos="1140"/>
        </w:tabs>
        <w:spacing w:line="460" w:lineRule="exact"/>
        <w:ind w:firstLine="600" w:firstLineChars="200"/>
        <w:rPr>
          <w:rFonts w:hint="eastAsia" w:ascii="仿宋_GB2312" w:eastAsia="仿宋_GB2312"/>
          <w:sz w:val="30"/>
        </w:rPr>
      </w:pPr>
      <w:r>
        <w:rPr>
          <w:rFonts w:hint="eastAsia" w:ascii="仿宋_GB2312" w:eastAsia="仿宋_GB2312"/>
          <w:sz w:val="30"/>
        </w:rPr>
        <w:t>6．直升生录取结束后，学校可以组织直升生进行研究性学习和开展社会实践等活动，但不得组织进行高中课程内容的教学。</w:t>
      </w:r>
    </w:p>
    <w:p>
      <w:pPr>
        <w:tabs>
          <w:tab w:val="left" w:pos="1140"/>
        </w:tabs>
        <w:spacing w:line="460" w:lineRule="exact"/>
        <w:ind w:firstLine="600" w:firstLineChars="200"/>
        <w:rPr>
          <w:rFonts w:hint="eastAsia" w:ascii="仿宋_GB2312" w:eastAsia="仿宋_GB2312"/>
          <w:sz w:val="30"/>
        </w:rPr>
      </w:pPr>
      <w:r>
        <w:rPr>
          <w:rFonts w:hint="eastAsia" w:ascii="仿宋_GB2312" w:eastAsia="仿宋_GB2312"/>
          <w:sz w:val="30"/>
        </w:rPr>
        <w:t>7．在直升生的推荐录取过程中，如发现徇私舞弊、弄虚作假的情况，一经查实，将取消该直升生的资格，并追究相关责任人的责任。对于在招生录取过程中有违规行为的学校，市教育局中招办将取消或者削减其下年度的直升生指标。</w:t>
      </w:r>
    </w:p>
    <w:p>
      <w:pPr>
        <w:tabs>
          <w:tab w:val="left" w:pos="1140"/>
        </w:tabs>
        <w:spacing w:line="460" w:lineRule="exact"/>
        <w:ind w:firstLine="600" w:firstLineChars="200"/>
        <w:rPr>
          <w:rFonts w:hint="eastAsia" w:eastAsia="黑体"/>
          <w:sz w:val="30"/>
        </w:rPr>
      </w:pPr>
      <w:r>
        <w:rPr>
          <w:rFonts w:hint="eastAsia" w:eastAsia="黑体"/>
          <w:sz w:val="30"/>
        </w:rPr>
        <w:t>六、各县</w:t>
      </w:r>
      <w:r>
        <w:rPr>
          <w:rFonts w:eastAsia="黑体"/>
          <w:sz w:val="30"/>
        </w:rPr>
        <w:t>(</w:t>
      </w:r>
      <w:r>
        <w:rPr>
          <w:rFonts w:hint="eastAsia" w:eastAsia="黑体"/>
          <w:sz w:val="30"/>
        </w:rPr>
        <w:t>市、区</w:t>
      </w:r>
      <w:r>
        <w:rPr>
          <w:rFonts w:eastAsia="黑体"/>
          <w:sz w:val="30"/>
        </w:rPr>
        <w:t>)</w:t>
      </w:r>
      <w:r>
        <w:rPr>
          <w:rFonts w:hint="eastAsia" w:eastAsia="黑体"/>
          <w:sz w:val="30"/>
        </w:rPr>
        <w:t>直升生推荐录取工作参照本办法执行。</w:t>
      </w:r>
    </w:p>
    <w:p>
      <w:pPr>
        <w:tabs>
          <w:tab w:val="left" w:pos="1140"/>
        </w:tabs>
        <w:spacing w:line="460" w:lineRule="exact"/>
        <w:ind w:firstLine="600" w:firstLineChars="200"/>
        <w:rPr>
          <w:rFonts w:eastAsia="黑体"/>
          <w:sz w:val="30"/>
        </w:rPr>
      </w:pPr>
      <w:r>
        <w:rPr>
          <w:rFonts w:hint="eastAsia" w:eastAsia="黑体"/>
          <w:sz w:val="30"/>
        </w:rPr>
        <w:t xml:space="preserve">七、本办法由市教育局中招办负责解释。   </w:t>
      </w:r>
    </w:p>
    <w:p>
      <w:pPr>
        <w:spacing w:line="480" w:lineRule="exact"/>
        <w:jc w:val="center"/>
        <w:rPr>
          <w:rFonts w:eastAsia="仿宋_GB2312"/>
          <w:sz w:val="30"/>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p>
      <w:pPr>
        <w:spacing w:line="480" w:lineRule="exact"/>
        <w:jc w:val="center"/>
        <w:rPr>
          <w:rFonts w:hint="eastAsia" w:ascii="方正小标宋简体" w:eastAsia="方正小标宋简体"/>
          <w:sz w:val="40"/>
          <w:szCs w:val="40"/>
        </w:rPr>
      </w:pPr>
      <w:r>
        <w:rPr>
          <w:rFonts w:hint="eastAsia" w:ascii="方正小标宋简体" w:eastAsia="方正小标宋简体"/>
          <w:sz w:val="40"/>
          <w:szCs w:val="40"/>
        </w:rPr>
        <w:t>2016年长沙市城区直升生资格审查表</w:t>
      </w:r>
    </w:p>
    <w:p>
      <w:pPr>
        <w:spacing w:line="480" w:lineRule="exact"/>
        <w:jc w:val="center"/>
        <w:rPr>
          <w:rFonts w:hint="eastAsia"/>
          <w:sz w:val="28"/>
        </w:rPr>
      </w:pPr>
    </w:p>
    <w:tbl>
      <w:tblPr>
        <w:tblStyle w:val="5"/>
        <w:tblW w:w="8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300"/>
        <w:gridCol w:w="80"/>
        <w:gridCol w:w="419"/>
        <w:gridCol w:w="405"/>
        <w:gridCol w:w="716"/>
        <w:gridCol w:w="184"/>
        <w:gridCol w:w="551"/>
        <w:gridCol w:w="765"/>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93" w:type="dxa"/>
            <w:vAlign w:val="center"/>
          </w:tcPr>
          <w:p>
            <w:pPr>
              <w:spacing w:line="480" w:lineRule="exact"/>
              <w:jc w:val="center"/>
              <w:rPr>
                <w:rFonts w:hint="eastAsia" w:ascii="仿宋_GB2312" w:eastAsia="仿宋_GB2312"/>
                <w:sz w:val="28"/>
              </w:rPr>
            </w:pPr>
            <w:r>
              <w:rPr>
                <w:rFonts w:hint="eastAsia" w:ascii="仿宋_GB2312" w:eastAsia="仿宋_GB2312"/>
                <w:sz w:val="28"/>
              </w:rPr>
              <w:t>姓  名</w:t>
            </w:r>
          </w:p>
        </w:tc>
        <w:tc>
          <w:tcPr>
            <w:tcW w:w="1300" w:type="dxa"/>
            <w:vAlign w:val="center"/>
          </w:tcPr>
          <w:p>
            <w:pPr>
              <w:spacing w:line="480" w:lineRule="exact"/>
              <w:jc w:val="center"/>
              <w:rPr>
                <w:rFonts w:hint="eastAsia" w:ascii="仿宋_GB2312" w:eastAsia="仿宋_GB2312"/>
                <w:sz w:val="28"/>
              </w:rPr>
            </w:pPr>
          </w:p>
        </w:tc>
        <w:tc>
          <w:tcPr>
            <w:tcW w:w="904" w:type="dxa"/>
            <w:gridSpan w:val="3"/>
            <w:vAlign w:val="center"/>
          </w:tcPr>
          <w:p>
            <w:pPr>
              <w:spacing w:line="480" w:lineRule="exact"/>
              <w:jc w:val="center"/>
              <w:rPr>
                <w:rFonts w:hint="eastAsia" w:ascii="仿宋_GB2312" w:eastAsia="仿宋_GB2312"/>
                <w:sz w:val="28"/>
              </w:rPr>
            </w:pPr>
            <w:r>
              <w:rPr>
                <w:rFonts w:hint="eastAsia" w:ascii="仿宋_GB2312" w:eastAsia="仿宋_GB2312"/>
                <w:sz w:val="28"/>
              </w:rPr>
              <w:t>性别</w:t>
            </w:r>
          </w:p>
        </w:tc>
        <w:tc>
          <w:tcPr>
            <w:tcW w:w="900" w:type="dxa"/>
            <w:gridSpan w:val="2"/>
            <w:vAlign w:val="center"/>
          </w:tcPr>
          <w:p>
            <w:pPr>
              <w:spacing w:line="480" w:lineRule="exact"/>
              <w:jc w:val="center"/>
              <w:rPr>
                <w:rFonts w:hint="eastAsia" w:ascii="仿宋_GB2312" w:eastAsia="仿宋_GB2312"/>
                <w:sz w:val="28"/>
              </w:rPr>
            </w:pPr>
          </w:p>
        </w:tc>
        <w:tc>
          <w:tcPr>
            <w:tcW w:w="1316" w:type="dxa"/>
            <w:gridSpan w:val="2"/>
            <w:vAlign w:val="center"/>
          </w:tcPr>
          <w:p>
            <w:pPr>
              <w:spacing w:line="480" w:lineRule="exact"/>
              <w:jc w:val="center"/>
              <w:rPr>
                <w:rFonts w:hint="eastAsia" w:ascii="仿宋_GB2312" w:eastAsia="仿宋_GB2312"/>
                <w:sz w:val="28"/>
              </w:rPr>
            </w:pPr>
            <w:r>
              <w:rPr>
                <w:rFonts w:hint="eastAsia" w:ascii="仿宋_GB2312" w:eastAsia="仿宋_GB2312"/>
                <w:sz w:val="28"/>
              </w:rPr>
              <w:t>学籍号</w:t>
            </w:r>
          </w:p>
        </w:tc>
        <w:tc>
          <w:tcPr>
            <w:tcW w:w="2519" w:type="dxa"/>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93" w:type="dxa"/>
            <w:vAlign w:val="center"/>
          </w:tcPr>
          <w:p>
            <w:pPr>
              <w:spacing w:line="480" w:lineRule="exact"/>
              <w:jc w:val="center"/>
              <w:rPr>
                <w:rFonts w:hint="eastAsia" w:ascii="仿宋_GB2312" w:eastAsia="仿宋_GB2312"/>
                <w:sz w:val="28"/>
              </w:rPr>
            </w:pPr>
            <w:r>
              <w:rPr>
                <w:rFonts w:hint="eastAsia" w:ascii="仿宋_GB2312" w:eastAsia="仿宋_GB2312"/>
                <w:sz w:val="28"/>
              </w:rPr>
              <w:t>毕业学校</w:t>
            </w:r>
          </w:p>
        </w:tc>
        <w:tc>
          <w:tcPr>
            <w:tcW w:w="2204" w:type="dxa"/>
            <w:gridSpan w:val="4"/>
            <w:vAlign w:val="center"/>
          </w:tcPr>
          <w:p>
            <w:pPr>
              <w:spacing w:line="480" w:lineRule="exact"/>
              <w:jc w:val="center"/>
              <w:rPr>
                <w:rFonts w:hint="eastAsia" w:ascii="仿宋_GB2312" w:eastAsia="仿宋_GB2312"/>
                <w:sz w:val="28"/>
              </w:rPr>
            </w:pPr>
          </w:p>
        </w:tc>
        <w:tc>
          <w:tcPr>
            <w:tcW w:w="1451" w:type="dxa"/>
            <w:gridSpan w:val="3"/>
            <w:vAlign w:val="center"/>
          </w:tcPr>
          <w:p>
            <w:pPr>
              <w:spacing w:line="480" w:lineRule="exact"/>
              <w:rPr>
                <w:rFonts w:hint="eastAsia" w:ascii="仿宋_GB2312" w:eastAsia="仿宋_GB2312"/>
                <w:sz w:val="28"/>
              </w:rPr>
            </w:pPr>
            <w:r>
              <w:rPr>
                <w:rFonts w:hint="eastAsia" w:ascii="仿宋_GB2312" w:eastAsia="仿宋_GB2312"/>
                <w:sz w:val="28"/>
              </w:rPr>
              <w:t>身份证号</w:t>
            </w:r>
          </w:p>
        </w:tc>
        <w:tc>
          <w:tcPr>
            <w:tcW w:w="3284" w:type="dxa"/>
            <w:gridSpan w:val="2"/>
            <w:vAlign w:val="center"/>
          </w:tcPr>
          <w:p>
            <w:pPr>
              <w:spacing w:line="48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93" w:type="dxa"/>
            <w:vAlign w:val="center"/>
          </w:tcPr>
          <w:p>
            <w:pPr>
              <w:spacing w:line="480" w:lineRule="exact"/>
              <w:jc w:val="center"/>
              <w:rPr>
                <w:rFonts w:hint="eastAsia" w:ascii="仿宋_GB2312" w:eastAsia="仿宋_GB2312"/>
                <w:sz w:val="28"/>
              </w:rPr>
            </w:pPr>
            <w:r>
              <w:rPr>
                <w:rFonts w:hint="eastAsia" w:ascii="仿宋_GB2312" w:eastAsia="仿宋_GB2312"/>
                <w:sz w:val="28"/>
              </w:rPr>
              <w:t>家庭住址</w:t>
            </w:r>
          </w:p>
        </w:tc>
        <w:tc>
          <w:tcPr>
            <w:tcW w:w="6939" w:type="dxa"/>
            <w:gridSpan w:val="9"/>
            <w:vAlign w:val="center"/>
          </w:tcPr>
          <w:p>
            <w:pPr>
              <w:spacing w:line="48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93" w:type="dxa"/>
            <w:vMerge w:val="restart"/>
            <w:vAlign w:val="top"/>
          </w:tcPr>
          <w:p>
            <w:pPr>
              <w:spacing w:line="480" w:lineRule="exact"/>
              <w:jc w:val="center"/>
              <w:rPr>
                <w:rFonts w:hint="eastAsia" w:ascii="仿宋_GB2312" w:eastAsia="仿宋_GB2312"/>
                <w:sz w:val="28"/>
              </w:rPr>
            </w:pPr>
            <w:r>
              <w:rPr>
                <w:rFonts w:hint="eastAsia" w:ascii="仿宋_GB2312" w:eastAsia="仿宋_GB2312"/>
                <w:sz w:val="28"/>
              </w:rPr>
              <w:t>父母或监</w:t>
            </w:r>
          </w:p>
          <w:p>
            <w:pPr>
              <w:spacing w:line="480" w:lineRule="exact"/>
              <w:jc w:val="center"/>
              <w:rPr>
                <w:rFonts w:hint="eastAsia" w:ascii="仿宋_GB2312" w:eastAsia="仿宋_GB2312"/>
                <w:sz w:val="28"/>
              </w:rPr>
            </w:pPr>
            <w:r>
              <w:rPr>
                <w:rFonts w:hint="eastAsia" w:ascii="仿宋_GB2312" w:eastAsia="仿宋_GB2312"/>
                <w:sz w:val="28"/>
              </w:rPr>
              <w:t>护人姓名</w:t>
            </w:r>
          </w:p>
        </w:tc>
        <w:tc>
          <w:tcPr>
            <w:tcW w:w="1799" w:type="dxa"/>
            <w:gridSpan w:val="3"/>
            <w:vAlign w:val="top"/>
          </w:tcPr>
          <w:p>
            <w:pPr>
              <w:spacing w:line="480" w:lineRule="exact"/>
              <w:rPr>
                <w:rFonts w:hint="eastAsia" w:ascii="仿宋_GB2312" w:eastAsia="仿宋_GB2312"/>
                <w:sz w:val="28"/>
              </w:rPr>
            </w:pPr>
          </w:p>
        </w:tc>
        <w:tc>
          <w:tcPr>
            <w:tcW w:w="1121" w:type="dxa"/>
            <w:gridSpan w:val="2"/>
            <w:vMerge w:val="restart"/>
            <w:vAlign w:val="top"/>
          </w:tcPr>
          <w:p>
            <w:pPr>
              <w:spacing w:line="480" w:lineRule="exact"/>
              <w:jc w:val="center"/>
              <w:rPr>
                <w:rFonts w:hint="eastAsia" w:ascii="仿宋_GB2312" w:eastAsia="仿宋_GB2312"/>
                <w:sz w:val="28"/>
              </w:rPr>
            </w:pPr>
            <w:r>
              <w:rPr>
                <w:rFonts w:hint="eastAsia" w:ascii="仿宋_GB2312" w:eastAsia="仿宋_GB2312"/>
                <w:sz w:val="28"/>
              </w:rPr>
              <w:t>联系</w:t>
            </w:r>
          </w:p>
          <w:p>
            <w:pPr>
              <w:spacing w:line="480" w:lineRule="exact"/>
              <w:jc w:val="center"/>
              <w:rPr>
                <w:rFonts w:hint="eastAsia" w:ascii="仿宋_GB2312" w:eastAsia="仿宋_GB2312"/>
                <w:sz w:val="28"/>
              </w:rPr>
            </w:pPr>
            <w:r>
              <w:rPr>
                <w:rFonts w:hint="eastAsia" w:ascii="仿宋_GB2312" w:eastAsia="仿宋_GB2312"/>
                <w:sz w:val="28"/>
              </w:rPr>
              <w:t>电话</w:t>
            </w:r>
          </w:p>
        </w:tc>
        <w:tc>
          <w:tcPr>
            <w:tcW w:w="4019" w:type="dxa"/>
            <w:gridSpan w:val="4"/>
            <w:vAlign w:val="top"/>
          </w:tcPr>
          <w:p>
            <w:pPr>
              <w:spacing w:line="48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93" w:type="dxa"/>
            <w:vMerge w:val="continue"/>
            <w:vAlign w:val="top"/>
          </w:tcPr>
          <w:p>
            <w:pPr>
              <w:spacing w:line="480" w:lineRule="exact"/>
              <w:jc w:val="center"/>
              <w:rPr>
                <w:rFonts w:hint="eastAsia" w:ascii="仿宋_GB2312" w:eastAsia="仿宋_GB2312"/>
                <w:sz w:val="28"/>
              </w:rPr>
            </w:pPr>
          </w:p>
        </w:tc>
        <w:tc>
          <w:tcPr>
            <w:tcW w:w="1799" w:type="dxa"/>
            <w:gridSpan w:val="3"/>
            <w:vAlign w:val="top"/>
          </w:tcPr>
          <w:p>
            <w:pPr>
              <w:spacing w:line="480" w:lineRule="exact"/>
              <w:rPr>
                <w:rFonts w:hint="eastAsia" w:ascii="仿宋_GB2312" w:eastAsia="仿宋_GB2312"/>
                <w:sz w:val="28"/>
              </w:rPr>
            </w:pPr>
          </w:p>
        </w:tc>
        <w:tc>
          <w:tcPr>
            <w:tcW w:w="1121" w:type="dxa"/>
            <w:gridSpan w:val="2"/>
            <w:vMerge w:val="continue"/>
            <w:vAlign w:val="top"/>
          </w:tcPr>
          <w:p>
            <w:pPr>
              <w:spacing w:line="480" w:lineRule="exact"/>
              <w:jc w:val="center"/>
              <w:rPr>
                <w:rFonts w:hint="eastAsia" w:ascii="仿宋_GB2312" w:eastAsia="仿宋_GB2312"/>
                <w:sz w:val="28"/>
              </w:rPr>
            </w:pPr>
          </w:p>
        </w:tc>
        <w:tc>
          <w:tcPr>
            <w:tcW w:w="4019" w:type="dxa"/>
            <w:gridSpan w:val="4"/>
            <w:vAlign w:val="top"/>
          </w:tcPr>
          <w:p>
            <w:pPr>
              <w:spacing w:line="48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373" w:type="dxa"/>
            <w:gridSpan w:val="3"/>
            <w:vAlign w:val="top"/>
          </w:tcPr>
          <w:p>
            <w:pPr>
              <w:spacing w:line="480" w:lineRule="exact"/>
              <w:jc w:val="center"/>
              <w:rPr>
                <w:rFonts w:hint="eastAsia" w:ascii="仿宋_GB2312" w:eastAsia="仿宋_GB2312"/>
                <w:sz w:val="28"/>
              </w:rPr>
            </w:pPr>
            <w:r>
              <w:rPr>
                <w:rFonts w:hint="eastAsia" w:ascii="仿宋_GB2312" w:eastAsia="仿宋_GB2312"/>
                <w:sz w:val="28"/>
              </w:rPr>
              <w:t>直升对应普通高中学校</w:t>
            </w:r>
          </w:p>
        </w:tc>
        <w:tc>
          <w:tcPr>
            <w:tcW w:w="5559" w:type="dxa"/>
            <w:gridSpan w:val="7"/>
            <w:vAlign w:val="top"/>
          </w:tcPr>
          <w:p>
            <w:pPr>
              <w:spacing w:line="48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8932" w:type="dxa"/>
            <w:gridSpan w:val="10"/>
            <w:vAlign w:val="top"/>
          </w:tcPr>
          <w:p>
            <w:pPr>
              <w:spacing w:line="480" w:lineRule="exact"/>
              <w:rPr>
                <w:rFonts w:hint="eastAsia" w:ascii="仿宋_GB2312" w:eastAsia="仿宋_GB2312"/>
                <w:sz w:val="28"/>
              </w:rPr>
            </w:pPr>
            <w:r>
              <w:rPr>
                <w:rFonts w:hint="eastAsia" w:ascii="仿宋_GB2312" w:eastAsia="仿宋_GB2312"/>
                <w:sz w:val="28"/>
              </w:rPr>
              <w:t>班级推荐意见：</w:t>
            </w:r>
          </w:p>
          <w:p>
            <w:pPr>
              <w:spacing w:line="480" w:lineRule="exact"/>
              <w:rPr>
                <w:rFonts w:hint="eastAsia" w:ascii="仿宋_GB2312" w:eastAsia="仿宋_GB2312"/>
                <w:sz w:val="28"/>
              </w:rPr>
            </w:pPr>
            <w:r>
              <w:rPr>
                <w:rFonts w:hint="eastAsia" w:ascii="仿宋_GB2312" w:eastAsia="仿宋_GB2312"/>
                <w:sz w:val="28"/>
              </w:rPr>
              <w:t xml:space="preserve">                   </w:t>
            </w:r>
          </w:p>
          <w:p>
            <w:pPr>
              <w:spacing w:line="480" w:lineRule="exact"/>
              <w:rPr>
                <w:rFonts w:hint="eastAsia" w:ascii="仿宋_GB2312" w:eastAsia="仿宋_GB2312"/>
                <w:sz w:val="28"/>
              </w:rPr>
            </w:pPr>
            <w:r>
              <w:rPr>
                <w:rFonts w:hint="eastAsia" w:ascii="仿宋_GB2312" w:eastAsia="仿宋_GB2312"/>
                <w:sz w:val="28"/>
              </w:rPr>
              <w:t xml:space="preserve">        </w:t>
            </w:r>
          </w:p>
          <w:p>
            <w:pPr>
              <w:spacing w:line="480" w:lineRule="exact"/>
              <w:ind w:firstLine="2800" w:firstLineChars="1000"/>
              <w:rPr>
                <w:rFonts w:hint="eastAsia" w:ascii="仿宋_GB2312" w:eastAsia="仿宋_GB2312"/>
                <w:sz w:val="28"/>
              </w:rPr>
            </w:pPr>
            <w:r>
              <w:rPr>
                <w:rFonts w:hint="eastAsia" w:ascii="仿宋_GB2312" w:eastAsia="仿宋_GB2312"/>
                <w:sz w:val="28"/>
              </w:rPr>
              <w:t xml:space="preserve">  班主任（签名）：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8932" w:type="dxa"/>
            <w:gridSpan w:val="10"/>
            <w:vAlign w:val="top"/>
          </w:tcPr>
          <w:p>
            <w:pPr>
              <w:spacing w:line="480" w:lineRule="exact"/>
              <w:rPr>
                <w:rFonts w:hint="eastAsia" w:ascii="仿宋_GB2312" w:eastAsia="仿宋_GB2312"/>
                <w:sz w:val="28"/>
              </w:rPr>
            </w:pPr>
            <w:r>
              <w:rPr>
                <w:rFonts w:hint="eastAsia" w:ascii="仿宋_GB2312" w:eastAsia="仿宋_GB2312"/>
                <w:sz w:val="28"/>
              </w:rPr>
              <w:t>年级组推荐意见：</w:t>
            </w: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r>
              <w:rPr>
                <w:rFonts w:hint="eastAsia" w:ascii="仿宋_GB2312" w:eastAsia="仿宋_GB2312"/>
                <w:sz w:val="28"/>
              </w:rPr>
              <w:t xml:space="preserve">                      年级组长（签名）：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jc w:val="center"/>
        </w:trPr>
        <w:tc>
          <w:tcPr>
            <w:tcW w:w="8932" w:type="dxa"/>
            <w:gridSpan w:val="10"/>
            <w:vAlign w:val="top"/>
          </w:tcPr>
          <w:p>
            <w:pPr>
              <w:spacing w:line="480" w:lineRule="exact"/>
              <w:rPr>
                <w:rFonts w:hint="eastAsia" w:ascii="仿宋_GB2312" w:eastAsia="仿宋_GB2312"/>
                <w:sz w:val="28"/>
              </w:rPr>
            </w:pPr>
            <w:r>
              <w:rPr>
                <w:rFonts w:hint="eastAsia" w:ascii="仿宋_GB2312" w:eastAsia="仿宋_GB2312"/>
                <w:sz w:val="28"/>
              </w:rPr>
              <w:t>学校审查意见：</w:t>
            </w: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r>
              <w:rPr>
                <w:rFonts w:hint="eastAsia" w:ascii="仿宋_GB2312" w:eastAsia="仿宋_GB2312"/>
                <w:sz w:val="28"/>
              </w:rPr>
              <w:t xml:space="preserve">       校长（签名）：        学校（盖章）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3" w:hRule="atLeast"/>
          <w:jc w:val="center"/>
        </w:trPr>
        <w:tc>
          <w:tcPr>
            <w:tcW w:w="8932" w:type="dxa"/>
            <w:gridSpan w:val="10"/>
            <w:vAlign w:val="top"/>
          </w:tcPr>
          <w:p>
            <w:pPr>
              <w:spacing w:line="480" w:lineRule="exact"/>
              <w:rPr>
                <w:rFonts w:hint="eastAsia" w:ascii="仿宋_GB2312" w:eastAsia="仿宋_GB2312"/>
                <w:sz w:val="28"/>
                <w:vertAlign w:val="subscript"/>
              </w:rPr>
            </w:pPr>
            <w:r>
              <w:rPr>
                <w:rFonts w:hint="eastAsia" w:ascii="仿宋_GB2312" w:eastAsia="仿宋_GB2312"/>
                <w:sz w:val="28"/>
              </w:rPr>
              <w:t>是否同意直升对应高中：</w:t>
            </w: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r>
              <w:rPr>
                <w:rFonts w:hint="eastAsia" w:ascii="仿宋_GB2312" w:eastAsia="仿宋_GB2312"/>
                <w:sz w:val="28"/>
              </w:rPr>
              <w:t xml:space="preserve">     学生（签名）：         家长（签名）：       年   月   日</w:t>
            </w:r>
          </w:p>
        </w:tc>
      </w:tr>
    </w:tbl>
    <w:p>
      <w:pPr>
        <w:spacing w:line="520" w:lineRule="exact"/>
        <w:rPr>
          <w:rFonts w:eastAsia="仿宋_GB2312"/>
          <w:sz w:val="30"/>
        </w:rPr>
        <w:sectPr>
          <w:pgSz w:w="11906" w:h="16838"/>
          <w:pgMar w:top="1440" w:right="1800" w:bottom="1440" w:left="1800" w:header="851" w:footer="992" w:gutter="0"/>
          <w:pgNumType w:fmt="numberInDash"/>
          <w:cols w:space="425" w:num="1"/>
          <w:docGrid w:type="lines" w:linePitch="312" w:charSpace="0"/>
        </w:sectPr>
      </w:pPr>
    </w:p>
    <w:p>
      <w:pPr>
        <w:spacing w:line="480" w:lineRule="exact"/>
        <w:jc w:val="center"/>
        <w:rPr>
          <w:rFonts w:hint="eastAsia" w:ascii="方正小标宋简体" w:eastAsia="方正小标宋简体"/>
          <w:sz w:val="40"/>
          <w:szCs w:val="40"/>
        </w:rPr>
      </w:pPr>
      <w:r>
        <w:rPr>
          <w:rFonts w:hint="eastAsia" w:ascii="方正小标宋简体" w:eastAsia="方正小标宋简体"/>
          <w:sz w:val="40"/>
          <w:szCs w:val="40"/>
        </w:rPr>
        <w:t>2016年长沙市城区直升生汇总名单</w:t>
      </w:r>
    </w:p>
    <w:p>
      <w:pPr>
        <w:spacing w:line="480" w:lineRule="exact"/>
        <w:rPr>
          <w:rFonts w:hint="eastAsia" w:ascii="仿宋_GB2312" w:eastAsia="仿宋_GB2312"/>
          <w:sz w:val="28"/>
          <w:szCs w:val="28"/>
        </w:rPr>
      </w:pPr>
    </w:p>
    <w:p>
      <w:pPr>
        <w:spacing w:line="480" w:lineRule="exact"/>
        <w:rPr>
          <w:rFonts w:hint="eastAsia" w:ascii="仿宋_GB2312" w:eastAsia="仿宋_GB2312"/>
          <w:sz w:val="28"/>
          <w:szCs w:val="28"/>
        </w:rPr>
      </w:pPr>
      <w:r>
        <w:rPr>
          <w:rFonts w:hint="eastAsia" w:ascii="仿宋_GB2312" w:eastAsia="仿宋_GB2312"/>
          <w:sz w:val="28"/>
          <w:szCs w:val="28"/>
        </w:rPr>
        <w:t>直升对应普通高中学校名称：</w:t>
      </w:r>
      <w:r>
        <w:rPr>
          <w:rFonts w:hint="eastAsia" w:ascii="仿宋_GB2312" w:eastAsia="仿宋_GB2312"/>
          <w:sz w:val="28"/>
          <w:szCs w:val="28"/>
          <w:u w:val="single"/>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620"/>
        <w:gridCol w:w="900"/>
        <w:gridCol w:w="180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center"/>
          </w:tcPr>
          <w:p>
            <w:pPr>
              <w:jc w:val="center"/>
              <w:rPr>
                <w:rFonts w:hint="eastAsia" w:ascii="仿宋_GB2312" w:eastAsia="仿宋_GB2312"/>
                <w:sz w:val="28"/>
                <w:szCs w:val="28"/>
              </w:rPr>
            </w:pPr>
            <w:r>
              <w:rPr>
                <w:rFonts w:hint="eastAsia" w:ascii="仿宋_GB2312" w:eastAsia="仿宋_GB2312"/>
                <w:sz w:val="28"/>
                <w:szCs w:val="28"/>
              </w:rPr>
              <w:t>序号</w:t>
            </w:r>
          </w:p>
        </w:tc>
        <w:tc>
          <w:tcPr>
            <w:tcW w:w="1800" w:type="dxa"/>
            <w:vAlign w:val="center"/>
          </w:tcPr>
          <w:p>
            <w:pPr>
              <w:jc w:val="center"/>
              <w:rPr>
                <w:rFonts w:hint="eastAsia" w:ascii="仿宋_GB2312" w:eastAsia="仿宋_GB2312"/>
                <w:sz w:val="28"/>
                <w:szCs w:val="28"/>
              </w:rPr>
            </w:pPr>
            <w:r>
              <w:rPr>
                <w:rFonts w:hint="eastAsia" w:ascii="仿宋_GB2312" w:eastAsia="仿宋_GB2312"/>
                <w:sz w:val="28"/>
                <w:szCs w:val="28"/>
              </w:rPr>
              <w:t>学籍号</w:t>
            </w:r>
          </w:p>
        </w:tc>
        <w:tc>
          <w:tcPr>
            <w:tcW w:w="1620" w:type="dxa"/>
            <w:tcBorders>
              <w:right w:val="single" w:color="auto" w:sz="8" w:space="0"/>
            </w:tcBorders>
            <w:vAlign w:val="center"/>
          </w:tcPr>
          <w:p>
            <w:pPr>
              <w:jc w:val="center"/>
              <w:rPr>
                <w:rFonts w:hint="eastAsia" w:ascii="仿宋_GB2312" w:eastAsia="仿宋_GB2312"/>
                <w:sz w:val="28"/>
                <w:szCs w:val="28"/>
              </w:rPr>
            </w:pPr>
            <w:r>
              <w:rPr>
                <w:rFonts w:hint="eastAsia" w:ascii="仿宋_GB2312" w:eastAsia="仿宋_GB2312"/>
                <w:sz w:val="28"/>
                <w:szCs w:val="28"/>
              </w:rPr>
              <w:t>姓名</w:t>
            </w:r>
          </w:p>
        </w:tc>
        <w:tc>
          <w:tcPr>
            <w:tcW w:w="9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sz w:val="28"/>
                <w:szCs w:val="28"/>
              </w:rPr>
            </w:pPr>
            <w:r>
              <w:rPr>
                <w:rFonts w:hint="eastAsia" w:ascii="仿宋_GB2312" w:eastAsia="仿宋_GB2312"/>
                <w:sz w:val="28"/>
                <w:szCs w:val="28"/>
              </w:rPr>
              <w:t>序号</w:t>
            </w:r>
          </w:p>
        </w:tc>
        <w:tc>
          <w:tcPr>
            <w:tcW w:w="1800" w:type="dxa"/>
            <w:tcBorders>
              <w:left w:val="single" w:color="auto" w:sz="8" w:space="0"/>
            </w:tcBorders>
            <w:vAlign w:val="center"/>
          </w:tcPr>
          <w:p>
            <w:pPr>
              <w:jc w:val="center"/>
              <w:rPr>
                <w:rFonts w:hint="eastAsia" w:ascii="仿宋_GB2312" w:eastAsia="仿宋_GB2312"/>
                <w:sz w:val="28"/>
                <w:szCs w:val="28"/>
              </w:rPr>
            </w:pPr>
            <w:r>
              <w:rPr>
                <w:rFonts w:hint="eastAsia" w:ascii="仿宋_GB2312" w:eastAsia="仿宋_GB2312"/>
                <w:sz w:val="28"/>
                <w:szCs w:val="28"/>
              </w:rPr>
              <w:t>学籍号</w:t>
            </w:r>
          </w:p>
        </w:tc>
        <w:tc>
          <w:tcPr>
            <w:tcW w:w="1574" w:type="dxa"/>
            <w:vAlign w:val="center"/>
          </w:tcPr>
          <w:p>
            <w:pPr>
              <w:jc w:val="center"/>
              <w:rPr>
                <w:rFonts w:hint="eastAsia" w:ascii="仿宋_GB2312" w:eastAsia="仿宋_GB2312"/>
                <w:sz w:val="28"/>
                <w:szCs w:val="28"/>
              </w:rPr>
            </w:pPr>
            <w:r>
              <w:rPr>
                <w:rFonts w:hint="eastAsia" w:ascii="仿宋_GB2312" w:eastAsia="仿宋_GB2312"/>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vAlign w:val="top"/>
          </w:tcPr>
          <w:p>
            <w:pPr>
              <w:rPr>
                <w:rFonts w:hint="eastAsia"/>
              </w:rPr>
            </w:pPr>
          </w:p>
        </w:tc>
        <w:tc>
          <w:tcPr>
            <w:tcW w:w="1800" w:type="dxa"/>
            <w:vAlign w:val="top"/>
          </w:tcPr>
          <w:p>
            <w:pPr>
              <w:rPr>
                <w:rFonts w:hint="eastAsia"/>
              </w:rPr>
            </w:pPr>
          </w:p>
        </w:tc>
        <w:tc>
          <w:tcPr>
            <w:tcW w:w="1620" w:type="dxa"/>
            <w:tcBorders>
              <w:right w:val="single" w:color="auto" w:sz="8" w:space="0"/>
            </w:tcBorders>
            <w:vAlign w:val="top"/>
          </w:tcPr>
          <w:p>
            <w:pPr>
              <w:rPr>
                <w:rFonts w:hint="eastAsia"/>
              </w:rPr>
            </w:pPr>
          </w:p>
        </w:tc>
        <w:tc>
          <w:tcPr>
            <w:tcW w:w="900" w:type="dxa"/>
            <w:tcBorders>
              <w:top w:val="single" w:color="auto" w:sz="8" w:space="0"/>
              <w:left w:val="single" w:color="auto" w:sz="8" w:space="0"/>
              <w:bottom w:val="single" w:color="auto" w:sz="8" w:space="0"/>
              <w:right w:val="single" w:color="auto" w:sz="8" w:space="0"/>
            </w:tcBorders>
            <w:vAlign w:val="top"/>
          </w:tcPr>
          <w:p>
            <w:pPr>
              <w:rPr>
                <w:rFonts w:hint="eastAsia"/>
              </w:rPr>
            </w:pPr>
          </w:p>
        </w:tc>
        <w:tc>
          <w:tcPr>
            <w:tcW w:w="1800" w:type="dxa"/>
            <w:tcBorders>
              <w:left w:val="single" w:color="auto" w:sz="8" w:space="0"/>
            </w:tcBorders>
            <w:vAlign w:val="top"/>
          </w:tcPr>
          <w:p>
            <w:pPr>
              <w:rPr>
                <w:rFonts w:hint="eastAsia"/>
              </w:rPr>
            </w:pPr>
          </w:p>
        </w:tc>
        <w:tc>
          <w:tcPr>
            <w:tcW w:w="1574" w:type="dxa"/>
            <w:vAlign w:val="top"/>
          </w:tcPr>
          <w:p>
            <w:pPr>
              <w:rPr>
                <w:rFonts w:hint="eastAsia"/>
              </w:rPr>
            </w:pPr>
          </w:p>
        </w:tc>
      </w:tr>
    </w:tbl>
    <w:p>
      <w:pPr>
        <w:spacing w:line="480" w:lineRule="exact"/>
        <w:rPr>
          <w:rFonts w:hint="eastAsia" w:ascii="仿宋_GB2312" w:eastAsia="仿宋_GB2312"/>
          <w:sz w:val="24"/>
        </w:rPr>
      </w:pPr>
      <w:r>
        <w:rPr>
          <w:rFonts w:hint="eastAsia" w:ascii="仿宋_GB2312" w:eastAsia="仿宋_GB2312"/>
          <w:sz w:val="28"/>
          <w:szCs w:val="28"/>
          <w:u w:val="single"/>
        </w:rPr>
        <w:t xml:space="preserve">                 </w:t>
      </w:r>
      <w:r>
        <w:rPr>
          <w:rFonts w:hint="eastAsia" w:ascii="仿宋_GB2312" w:eastAsia="仿宋_GB2312"/>
          <w:sz w:val="28"/>
          <w:szCs w:val="28"/>
        </w:rPr>
        <w:t>学校（盖章）             年     月     日</w:t>
      </w:r>
    </w:p>
    <w:p>
      <w:pPr>
        <w:spacing w:line="520" w:lineRule="exact"/>
      </w:pPr>
      <w:r>
        <w:rPr>
          <w:rFonts w:hint="eastAsia" w:eastAsia="仿宋_GB2312"/>
          <w:sz w:val="28"/>
          <w:szCs w:val="28"/>
        </w:rPr>
        <w:t>备注：直升生汇总名单按学籍号从小到大排序。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4"/>
        <w:rFonts w:ascii="宋体" w:hAnsi="宋体"/>
        <w:sz w:val="28"/>
        <w:szCs w:val="28"/>
      </w:rPr>
    </w:pP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lang w:val="zh-CN" w:eastAsia="zh-CN"/>
      </w:rPr>
      <w:t>- 28 -</w:t>
    </w:r>
    <w:r>
      <w:rPr>
        <w:rStyle w:val="4"/>
        <w:rFonts w:ascii="宋体" w:hAnsi="宋体"/>
        <w:sz w:val="28"/>
        <w:szCs w:val="28"/>
      </w:rPr>
      <w:fldChar w:fldCharType="end"/>
    </w:r>
  </w:p>
  <w:p>
    <w:pPr>
      <w:pStyle w:val="2"/>
      <w:ind w:right="360" w:firstLine="360"/>
      <w:jc w:val="center"/>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4110B"/>
    <w:rsid w:val="737411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2016-03-15T06:40:00Z</dcterms:created>
  <dc:creator>Administrator</dc:creator>
  <cp:lastModifiedBy>Administrator</cp:lastModifiedBy>
  <dcterms:modified xsi:type="dcterms:W3CDTF">2016-03-15T06:41:05Z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